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88R3767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H.B.</w:t>
      </w:r>
      <w:r xml:space="preserve">
        <w:t> </w:t>
      </w:r>
      <w:r>
        <w:t xml:space="preserve">No.</w:t>
      </w:r>
      <w:r xml:space="preserve">
        <w:t> </w:t>
      </w:r>
      <w:r>
        <w:t xml:space="preserve">2184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appropriations to historical foundations by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318.021, Local Government Code, is amended to read as follows:</w:t>
      </w:r>
    </w:p>
    <w:p w:rsidR="003F3435" w:rsidRDefault="0032493E">
      <w:pPr>
        <w:spacing w:line="480" w:lineRule="auto"/>
        <w:ind w:firstLine="720"/>
        <w:jc w:val="both"/>
      </w:pPr>
      <w:r>
        <w:t xml:space="preserve">Sec.</w:t>
      </w:r>
      <w:r xml:space="preserve">
        <w:t> </w:t>
      </w:r>
      <w:r>
        <w:t xml:space="preserve">318.021.</w:t>
      </w:r>
      <w:r xml:space="preserve">
        <w:t> </w:t>
      </w:r>
      <w:r xml:space="preserve">
        <w:t> </w:t>
      </w:r>
      <w:r>
        <w:t xml:space="preserve">APPROPRIATIONS TO HISTORICAL FOUNDATIONS:  CERTAIN COUNTIES. The commissioners court of a county with a population of </w:t>
      </w:r>
      <w:r>
        <w:rPr>
          <w:u w:val="single"/>
        </w:rPr>
        <w:t xml:space="preserve">175,000</w:t>
      </w:r>
      <w:r>
        <w:t xml:space="preserve"> [</w:t>
      </w:r>
      <w:r>
        <w:rPr>
          <w:strike/>
        </w:rPr>
        <w:t xml:space="preserve">239,000</w:t>
      </w:r>
      <w:r>
        <w:t xml:space="preserve">] to 825,000 may appropriate money from the general fund of the county to a historical foundation or organization in the county for the purpose of purchasing, constructing, restoring, preserving, maintaining, or reconstructing historical landmarks, buildings, and furnishings that are of historical significance to the county. The foundation or organization must be incorporated under the law of this state as a nonprofit corporation.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