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88R9474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2192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election fraud.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276.013(b), Election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state jail felony</w:t>
      </w:r>
      <w:r>
        <w:t xml:space="preserve"> </w:t>
      </w:r>
      <w:r>
        <w:t xml:space="preserve">[</w:t>
      </w:r>
      <w:r>
        <w:rPr>
          <w:strike/>
        </w:rPr>
        <w:t xml:space="preserve">Class A misdemeanor, unless: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person committed the offense while acting in the person's capacity as an elected official, in which case the offense is a state jail felony;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person is convicted of an attempt, in which case the offense is a Class B misdemeanor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