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88R19575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Smithee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2196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trusts.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41.0021(a),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section, "qualifying trust" means an express trust: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which the instrument or court order creating the express trust</w:t>
      </w:r>
      <w:r>
        <w:rPr>
          <w:u w:val="single"/>
        </w:rPr>
        <w:t xml:space="preserve">, an instrument transferring property to the trust, or any other agreement that is binding on the trustee</w:t>
      </w:r>
      <w:r>
        <w:t xml:space="preserve"> provides that a settlor or beneficiary of the trust has the right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revoke the trust without the consent of another person </w:t>
      </w:r>
      <w:r>
        <w:rPr>
          <w:u w:val="single"/>
        </w:rPr>
        <w:t xml:space="preserve">other than a spouse who is also a settlor of the trust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exercise an inter vivos general power of appointment over the property that qualifies for the homestead exemption</w:t>
      </w:r>
      <w:r>
        <w:rPr>
          <w:u w:val="single"/>
        </w:rPr>
        <w:t xml:space="preserve">, either alone or when aggregated with property subject to an inter vivos general power of appointment held by a spouse who is also a settlor of the trust</w:t>
      </w:r>
      <w: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use and occupy the residential property as the settlor's or beneficiary's principal residence at no cost</w:t>
      </w:r>
      <w:r>
        <w:rPr>
          <w:u w:val="single"/>
        </w:rPr>
        <w:t xml:space="preserve">, or rent free and without charge, except for</w:t>
      </w:r>
      <w:r>
        <w:t xml:space="preserve"> [</w:t>
      </w:r>
      <w:r>
        <w:rPr>
          <w:strike/>
        </w:rPr>
        <w:t xml:space="preserve">to the settlor or beneficiary, other than payment of</w:t>
      </w:r>
      <w:r>
        <w:t xml:space="preserve">] taxes and other costs and expenses specified in the instrument or court order: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for the life of the settlor or beneficiary;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 the shorter of the life of the settlor or beneficiary or a term of years specified in the instrument or court order;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until the date the trust is revoked or terminated by an instrument or court order </w:t>
      </w:r>
      <w:r>
        <w:rPr>
          <w:u w:val="single"/>
        </w:rPr>
        <w:t xml:space="preserve">that describes the property with sufficient certainty to identify the property and that is</w:t>
      </w:r>
      <w:r>
        <w:t xml:space="preserve"> recorded in the real property records of the county in which the property is located [</w:t>
      </w:r>
      <w:r>
        <w:rPr>
          <w:strike/>
        </w:rPr>
        <w:t xml:space="preserve">and that describes the property with sufficient certainty to identify the property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trustee of which acquires the property in an instrument of title or under a court order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describes the property with sufficient certainty to identify the property and the interest acquired;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recorded in the real property records of the county in which the property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112.035, Property Code, is amended by adding Subsections (f-1), (f-2), and (f-3)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beneficiary of the trust or the estate of a beneficiary of the trust may not be considered to be a settlor merely because the beneficiary, in any capacity: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held or exercised a testamentary power of appointment other than a general power of appointment;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held a testamentary general power of appointment;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exercised a testamentary general power of appointment in favor of or for the benefit of the takers in default of the appointive assets.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beneficiary of the trust exercised a testamentary general power of appointment in favor of or for the benefit of any appointee other than the takers in default of the appointive assets, the appointive assets are: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the claims of creditors of the beneficiary, but only to the extent the beneficiary's own property is insufficient to meet the beneficiary's debts;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appointed to the beneficiary's estate, not subject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administration as a part of the beneficiary's estate;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recovery by the personal representative of the beneficiary's estate, except as provided by Section 2207B, Internal Revenue Code of 1986;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payment of taxes or administration expenses of the beneficiary's estate.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purposes of Subsections (f-1) and (f-2), "general power of appointment" has the meaning assigned by Section 2041(b)(1), Internal Revenue Code of 1986.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112.036(b) and (c), Property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section, the effective date [</w:t>
      </w:r>
      <w:r>
        <w:rPr>
          <w:strike/>
        </w:rPr>
        <w:t xml:space="preserve">of a trust</w:t>
      </w:r>
      <w:r>
        <w:t xml:space="preserve">] is the date </w:t>
      </w:r>
      <w:r>
        <w:rPr>
          <w:u w:val="single"/>
        </w:rPr>
        <w:t xml:space="preserve">the governing instrument creating an interest in</w:t>
      </w:r>
      <w:r>
        <w:t xml:space="preserve"> the trust becomes irrevocable </w:t>
      </w:r>
      <w:r>
        <w:rPr>
          <w:u w:val="single"/>
        </w:rPr>
        <w:t xml:space="preserve">with respect to that interest</w:t>
      </w:r>
      <w:r>
        <w:t xml:space="preserve">. </w:t>
      </w:r>
      <w:r>
        <w:rPr>
          <w:u w:val="single"/>
        </w:rPr>
        <w:t xml:space="preserve">If an interest in one trust is distributed to another trust with a different effective date, the effective date of that interest in the second trust becomes the earlier of the effective dates of the two trusts.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interest in a trust must vest, if at 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not later than 300 years after the effective date of the trust,</w:t>
      </w:r>
      <w:r>
        <w:t xml:space="preserve">] if the effective date [</w:t>
      </w:r>
      <w:r>
        <w:rPr>
          <w:strike/>
        </w:rPr>
        <w:t xml:space="preserve">of the trust</w:t>
      </w:r>
      <w:r>
        <w:t xml:space="preserve">] is on or after September 1, 2021</w:t>
      </w:r>
      <w:r>
        <w:rPr>
          <w:u w:val="single"/>
        </w:rPr>
        <w:t xml:space="preserve">, not later than the later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300 years after the effective date;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21 years after some life in being at the time of the effective date, plus a period of gestation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if the effective date is before September 1, 2021,</w:t>
      </w:r>
      <w:r>
        <w:t xml:space="preserve"> except as provided by Subsection (d), not later than 21 years after some life in being at the time of the </w:t>
      </w:r>
      <w:r>
        <w:rPr>
          <w:u w:val="single"/>
        </w:rPr>
        <w:t xml:space="preserve">effective date</w:t>
      </w:r>
      <w:r>
        <w:t xml:space="preserve"> </w:t>
      </w:r>
      <w:r>
        <w:t xml:space="preserve">[</w:t>
      </w:r>
      <w:r>
        <w:rPr>
          <w:strike/>
        </w:rPr>
        <w:t xml:space="preserve">creation of the interest</w:t>
      </w:r>
      <w:r>
        <w:t xml:space="preserve">], plus a period of gestation [</w:t>
      </w:r>
      <w:r>
        <w:rPr>
          <w:strike/>
        </w:rPr>
        <w:t xml:space="preserve">, if the effective date of the trust is before September 1, 2021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112.0715(a) and (b), Property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second trust may be created by a distribution of principal under Section 112.072 or 112.073 to a </w:t>
      </w:r>
      <w:r>
        <w:rPr>
          <w:u w:val="single"/>
        </w:rPr>
        <w:t xml:space="preserve">second trust that retains the name used by the first trust.  The second trust may retain, subject to applicable federal law, the tax identification number of the first</w:t>
      </w:r>
      <w:r>
        <w:t xml:space="preserve"> trust [</w:t>
      </w:r>
      <w:r>
        <w:rPr>
          <w:strike/>
        </w:rPr>
        <w:t xml:space="preserve">created under the same trust instrument as the first trust from which the principal is distributed or to a trust created under a different trust instrument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second trust is created by a distribution of principal under Section 112.072 or 112.073 to a trust </w:t>
      </w:r>
      <w:r>
        <w:rPr>
          <w:u w:val="single"/>
        </w:rPr>
        <w:t xml:space="preserve">that retains</w:t>
      </w:r>
      <w:r>
        <w:t xml:space="preserve"> [</w:t>
      </w:r>
      <w:r>
        <w:rPr>
          <w:strike/>
        </w:rPr>
        <w:t xml:space="preserve">created under</w:t>
      </w:r>
      <w:r>
        <w:t xml:space="preserve">] the </w:t>
      </w:r>
      <w:r>
        <w:rPr>
          <w:u w:val="single"/>
        </w:rPr>
        <w:t xml:space="preserve">name of</w:t>
      </w:r>
      <w:r>
        <w:t xml:space="preserve"> [</w:t>
      </w:r>
      <w:r>
        <w:rPr>
          <w:strike/>
        </w:rPr>
        <w:t xml:space="preserve">same trust instrument as</w:t>
      </w:r>
      <w:r>
        <w:t xml:space="preserve">] the first trust [</w:t>
      </w:r>
      <w:r>
        <w:rPr>
          <w:strike/>
        </w:rPr>
        <w:t xml:space="preserve">from which the principal is distributed</w:t>
      </w:r>
      <w:r>
        <w:t xml:space="preserve">], the property is not required to be retitled.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115.014(b),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 any point in a proceeding a court may appoint an attorney ad litem to represent any interest that the court considers necessary, including an attorney ad litem to defend an action under Section 114.083 for a beneficiary of the trust who is a minor or who has been adjudged incompetent</w:t>
      </w:r>
      <w:r>
        <w:rPr>
          <w:u w:val="single"/>
        </w:rPr>
        <w:t xml:space="preserve">, if the court determines that representation of the interest otherwise would be inadequate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112.0715(c), Property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112.0715(a) and (b), Property Code, as amended by this Act, are intended by the legislature to be a codification of the common law of this state in effect immediately before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Except as otherwise provided by this Act, the changes in law made by this Act apply to a trust created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