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88R19575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2196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 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112.0715(c), Property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2196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