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88R3894 MPF-F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Canales</w:t>
      </w:r>
      <w:r xml:space="preserve">
        <w:tab wTab="150" tlc="none" cTlc="0"/>
      </w:r>
      <w:r>
        <w:t xml:space="preserve">H.B.</w:t>
      </w:r>
      <w:r xml:space="preserve">
        <w:t> </w:t>
      </w:r>
      <w:r>
        <w:t xml:space="preserve">No.</w:t>
      </w:r>
      <w:r xml:space="preserve">
        <w:t> </w:t>
      </w:r>
      <w:r>
        <w:t xml:space="preserve">2201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housing certain inmates in state jail felony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507.006(a), Government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any other provision of this subchapter, the state jail division, with the approval of the board, may designate one or more state jail felony facilities [</w:t>
      </w:r>
      <w:r>
        <w:rPr>
          <w:strike/>
        </w:rPr>
        <w:t xml:space="preserve">or discrete areas within one or more state jail felony facilities</w:t>
      </w:r>
      <w:r>
        <w:t xml:space="preserve">] to treat inmates who are eligible for confinement in a substance abuse felony punishment facility under Section 493.009 or to house inmates who are sentenced to imprisonment in the institutional division, but only if the designation does not deny placement in a state jail felony facility of defendants required to serve terms of confinement in a facility following conviction of state jail felonies. </w:t>
      </w:r>
      <w:r>
        <w:t xml:space="preserve"> </w:t>
      </w:r>
      <w:r>
        <w:t xml:space="preserve">The division may not house in a state jail felony facility an inmate who:</w:t>
      </w:r>
    </w:p>
    <w:p w:rsidR="003F3435" w:rsidRDefault="0032493E">
      <w:pPr>
        <w:spacing w:line="480" w:lineRule="auto"/>
        <w:ind w:firstLine="1440"/>
        <w:jc w:val="both"/>
      </w:pPr>
      <w:r>
        <w:t xml:space="preserve">(1)</w:t>
      </w:r>
      <w:r xml:space="preserve">
        <w:t> </w:t>
      </w:r>
      <w:r xml:space="preserve">
        <w:t> </w:t>
      </w:r>
      <w:r>
        <w:t xml:space="preserve">has a history of or has shown a pattern of violent or assaultive behavior in county jail or a facility operated by the department; or</w:t>
      </w:r>
    </w:p>
    <w:p w:rsidR="003F3435" w:rsidRDefault="0032493E">
      <w:pPr>
        <w:spacing w:line="480" w:lineRule="auto"/>
        <w:ind w:firstLine="1440"/>
        <w:jc w:val="both"/>
      </w:pPr>
      <w:r>
        <w:t xml:space="preserve">(2)</w:t>
      </w:r>
      <w:r xml:space="preserve">
        <w:t> </w:t>
      </w:r>
      <w:r xml:space="preserve">
        <w:t> </w:t>
      </w:r>
      <w:r>
        <w:t xml:space="preserve">will increase the likelihood of harm to the public if housed in the facility.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