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88R8067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Patterson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prohibition of certain social media platforms developed or provided by certain foreign entities.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120, Business &amp; Commerce Code, is amended by adding Subchapter C-1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C-1. </w:t>
      </w:r>
      <w:r>
        <w:rPr>
          <w:u w:val="single"/>
        </w:rPr>
        <w:t xml:space="preserve"> </w:t>
      </w:r>
      <w:r>
        <w:rPr>
          <w:u w:val="single"/>
        </w:rPr>
        <w:t xml:space="preserve">PROHIBITION OF CERTAIN SOCIAL MEDIA PLATFORMS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120.121.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SOCIAL MEDIA PLATFORM DEVELOPED OR PROVIDED BY CERTAIN FOREIGN INDIVIDUALS OR ENTITIES PROHIBITED.  Notwithstanding any other law, a social media platform may not operate in this state if the platform is developed or provided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governmental entity of China, Iran, North Korea, or Russia;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company or other entity that is: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headquartered in China, Iran, North Korea, or Russia;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directly or indirectly held or controlled by the government of China, Iran, North Korea, or Russia;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owned by or the majority of stock or other ownership interest of which is held or controlled by individuals who are citizens of China, Iran, North Korea, or Russia;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company or other entity that is owned by or the majority of stock or other ownership interest of which is held or controlled by a company or entity described by Subdivision (2);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individual who is a citizen of China, Iran, North Korea, or Russia.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