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state highway fund, the oil and gas regulation and cleanup account, the Texas emissions reduction plan fund, the property tax relief fund, and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the property tax relief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rPr>
          <w:strike/>
        </w:rPr>
        <w:t xml:space="preserve">of amounts to be transferred to the fund and to the state highway fund under Section 49 g(c) of that article in a state fiscal year</w:t>
      </w:r>
      <w:r>
        <w:t xml:space="preserve">] beginning [</w:t>
      </w:r>
      <w:r>
        <w:rPr>
          <w:strike/>
        </w:rPr>
        <w:t xml:space="preserve">on or after</w:t>
      </w:r>
      <w:r>
        <w:t xml:space="preserve">] September 1, </w:t>
      </w:r>
      <w:r>
        <w:rPr>
          <w:u w:val="single"/>
        </w:rPr>
        <w:t xml:space="preserve">2037</w:t>
      </w:r>
      <w:r>
        <w:t xml:space="preserve"> [</w:t>
      </w:r>
      <w:r>
        <w:rPr>
          <w:strike/>
        </w:rPr>
        <w:t xml:space="preserve">2035</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w:t>
      </w:r>
      <w:r>
        <w:rPr>
          <w:u w:val="single"/>
        </w:rPr>
        <w:t xml:space="preserve">of this section</w:t>
      </w:r>
      <w:r>
        <w:t xml:space="preserve"> and this subsection expire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w:t>
      </w:r>
      <w:r>
        <w:rPr>
          <w:u w:val="single"/>
        </w:rPr>
        <w:t xml:space="preserve">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governor for the purpose of implementing, administering, and funding the grant program established under Subsection (h);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Texas Department of Transportation for the purpose of making grants under Subchapter C, Chapter 256, Transportation Code only to make a grant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Subsection (i),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 emergency and trauma care services, health care, mental health care, educational, and workforce preparedness needs.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awarding grants under the grant program established under Subsection (h),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the state highway fund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