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88R18651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2209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2209:</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2209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Rural Pathway Excellence Partnership (R-PEP) program and creating an allotment and outcomes bonus under the Foundation School Program to support the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29.912.</w:t>
      </w:r>
      <w:r>
        <w:rPr>
          <w:u w:val="single"/>
        </w:rPr>
        <w:t xml:space="preserve"> </w:t>
      </w:r>
      <w:r>
        <w:rPr>
          <w:u w:val="single"/>
        </w:rPr>
        <w:t xml:space="preserve"> </w:t>
      </w:r>
      <w:r>
        <w:rPr>
          <w:u w:val="single"/>
        </w:rPr>
        <w:t xml:space="preserve">RURAL PATHWAY EXCELLENCE PARTNERSHIP (R-PEP) PROGRAM.  (a)  In this section, "program" means the Rural Pathway Excellence Partnership (R-PEP)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must enable an eligible school district that lacks an economy of scale, as determined by commissioner rule, to partner with at least one other school district to offer a broader array of robust college and career pathways. Each partnership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college and career pathways that align with regional labor market projections for high-wage, high-demand careers;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managed by a coordinating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or will have at the time students are served under the partnership the capacity to effectively coordinate the partnership;</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entered into a performance agreement approved by the board of trustees of each partnering school district that confers to the coordinating entity the same authority with respect to the pathways offered under the partnership as provided to an entity that contracts to operate a district campus under Section 11.174;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an eligible entity as defined by Section 12.101(a);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on the entity's governing board as either voting or ex officio members representatives of each partnering school district and members of regional higher education and workforce organizations.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performance agreement described by Subsection (c)(2)(B)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ambitious and measurable performance goals and progress measures tied to current college, career, and military readiness outcomes and longitudinal postsecondary completion and employment-related outcomes;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allocate responsibilities for accessing and managing  progress and outcome information  and annually publishing that information on the Internet website of each partnering district and the coordinating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 the coordinating entity to optimize the value of each college and career pathway offered through the partnership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determining scheduling;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adding or removing a pathway;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hiring pathway-specific personnel;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developing and exercising final approval of pathway budgets, which must include at least 80 percent of the state and local funding to which each partnering school district is entitled under Chapter 48 and that is attributable to students' participation in the program, including an allotment under Section 48.106 or 48.118 and an outcome bonus under Section 48.110 or 48.118;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determining other matters critical to the efficacy of the pathways;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that any eligible student residing in a partnering school district may participate in a college or career pathway offered through the partnership.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of a coordinating entity that manages a partnership under the program is eligible for membership in and benefits from the Teacher Retirement System of Texas if the employee would be eligible for membership and benefits by holding the same position at a partnering school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student enrolled in a college or career pathway offered through a partnership under the program is not considered for accountability purposes under Chapter 39 to have dropped out of high school or failed to complete the curriculum requirements for high school graduation until the sixth anniversary of the student's first day in high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proposing to enter into a performance agreement under this section shall notify the commissioner of the district's intent to enter into the agreement.  The commissioner shall establish procedures for a district to notify the commissioner, including the period within which notification is required before the school year in which the proposed agreement would take effect, and to provide any additional information required by the commissioner.  The commissioner shall notify the district whether the proposed agreement is approved or denied not later than the 60th day after the date the commissioner receives notification of the proposed agreement and all other information required by the commissioner.  If the commissioner fails to notify the district that the proposed agreement has been approved or denied within the period prescribed by this subsection, the proposed agreement is considered approved.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From money appropriated for that purpose, the commissioner shall establish a grant program to assist in the planning and implementation of a partnership under the program.  The commissioner may award a grant only to a coordinating entity that has entered into a performance agreement approved under Subsection (g).  The commissioner may use not more than 15 percent of the money appropriated for the grant program to cover the cost of administering the grant program and to provide technical assistance and support to partnerships under the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implement this section, including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for a coordinating entity and a performance agreement with the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period for which a partnership under the program may operate after commissioner approval before renewal of commissioner approval is required;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standards for renewal of commissioner approval for a partnership under the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does not prohibit an agreement between a school district and another entity for the provision of services at a district campus.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accept gifts, grants, and donations from any source, including private and nonprofit organizations, for the program.  A private or nonprofit organization that contributes to the program may receive an award under Section 7.113.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48, Education Code, is amended by adding Section 48.118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48.118.</w:t>
      </w:r>
      <w:r>
        <w:rPr>
          <w:u w:val="single"/>
        </w:rPr>
        <w:t xml:space="preserve"> </w:t>
      </w:r>
      <w:r>
        <w:rPr>
          <w:u w:val="single"/>
        </w:rPr>
        <w:t xml:space="preserve"> </w:t>
      </w:r>
      <w:r>
        <w:rPr>
          <w:u w:val="single"/>
        </w:rPr>
        <w:t xml:space="preserve">RURAL PATHWAY EXCELLENCE PARTNERSHIP (R-PEP) ALLOTMENT AND OUTCOME BONUS.  (a)  For each full-time equivalent student in average daily attendance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1.15, if the student is educationally disadvantaged;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1.11, if the student is not educationally disadvantaged.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commissioner shall determine for each school district the minimum number of annual graduates of a college or career pathway described by Subsection (a) in each cohort described by Section 48.110(b) who would have to obtain not later than five years after high school graduation a postsecondary credential of value, including a degree, certificate, or other credential that prepares students for continued learning and greater earnings in the state economy, in order for the district to qualify for an outcomes bonus under Subsection (c).</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allotment under Subsection (a), for each annual graduate in a cohort described by Subsection (b) who earns a postsecondary credential of value described by that subsection during the preceding school year in excess of the minimum number of students determined for the applicable district cohort for that school year, a school district is entitled to an annual outcomes bonus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annual graduate is educationally disadvantaged,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annual graduate is not educationally disadvantaged, $1,000;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annual graduate is enrolled in a special education program under Subchapter A, Chapter 29, $2,000, regardless of whether the annual graduate is educationally disadvantaged.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outcomes bonus under each subdivision of Subsection (c) for which an annual graduate qualifies.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receive funding for a student under this section and any other section for which the student qualifies.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29.912, Education Code, as added by 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48.118, Education Code, as added by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