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88R7861 SCP-F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the practice of public accountancy.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901.002(a)(7), Occupations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"Corporation" </w:t>
      </w:r>
      <w:r>
        <w:rPr>
          <w:u w:val="single"/>
        </w:rPr>
        <w:t xml:space="preserve">has the meaning assigned by Section 1.002, Business Organizations Code.  The term includes an entity</w:t>
      </w:r>
      <w:r>
        <w:t xml:space="preserve"> [</w:t>
      </w:r>
      <w:r>
        <w:rPr>
          <w:strike/>
        </w:rPr>
        <w:t xml:space="preserve">means a corporation</w:t>
      </w:r>
      <w:r>
        <w:t xml:space="preserve">] authorized by [</w:t>
      </w:r>
      <w:r>
        <w:rPr>
          <w:strike/>
        </w:rPr>
        <w:t xml:space="preserve">a statute applicable to this state or by</w:t>
      </w:r>
      <w:r>
        <w:t xml:space="preserve">] an equivalent law of another state or a foreign country [</w:t>
      </w:r>
      <w:r>
        <w:rPr>
          <w:strike/>
        </w:rPr>
        <w:t xml:space="preserve">, including a professional public accounting corporation organized under The Texas Professional Corporation Act (Article 1528e, Vernon's Texas Civil Statutes)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901.404,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901.404.</w:t>
      </w:r>
      <w:r xml:space="preserve">
        <w:t> </w:t>
      </w:r>
      <w:r xml:space="preserve">
        <w:t> </w:t>
      </w:r>
      <w:r>
        <w:t xml:space="preserve">NOTICE OF LICENSE EXPIRATION.  (a)  Not later than the 30th day before the expiration date of a person's license, the board shall send written </w:t>
      </w:r>
      <w:r>
        <w:rPr>
          <w:u w:val="single"/>
        </w:rPr>
        <w:t xml:space="preserve">or electronic</w:t>
      </w:r>
      <w:r>
        <w:t xml:space="preserve"> notice of the impending license expiration to the person at the person's last known address </w:t>
      </w:r>
      <w:r>
        <w:rPr>
          <w:u w:val="single"/>
        </w:rPr>
        <w:t xml:space="preserve">or e-mail address</w:t>
      </w:r>
      <w:r>
        <w:t xml:space="preserve"> according to the board's records.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shall determine the amount of the renewal fee and shall </w:t>
      </w:r>
      <w:r>
        <w:rPr>
          <w:u w:val="single"/>
        </w:rPr>
        <w:t xml:space="preserve">provide written or electronic</w:t>
      </w:r>
      <w:r>
        <w:t xml:space="preserve"> [</w:t>
      </w:r>
      <w:r>
        <w:rPr>
          <w:strike/>
        </w:rPr>
        <w:t xml:space="preserve">mail</w:t>
      </w:r>
      <w:r>
        <w:t xml:space="preserve">] notice of that amount to the person within the time provided by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901.457,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901.457.</w:t>
      </w:r>
      <w:r xml:space="preserve">
        <w:t> </w:t>
      </w:r>
      <w:r xml:space="preserve">
        <w:t> </w:t>
      </w:r>
      <w:r>
        <w:t xml:space="preserve">ACCOUNTANT-CLIENT </w:t>
      </w:r>
      <w:r>
        <w:rPr>
          <w:u w:val="single"/>
        </w:rPr>
        <w:t xml:space="preserve">CONFIDENTIALITY</w:t>
      </w:r>
      <w:r>
        <w:t xml:space="preserve"> [</w:t>
      </w:r>
      <w:r>
        <w:rPr>
          <w:strike/>
        </w:rPr>
        <w:t xml:space="preserve">PRIVILEGE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901.656(b),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may award a scholarship under this subchapter only to an eligible student who intends to take the </w:t>
      </w:r>
      <w:r>
        <w:rPr>
          <w:u w:val="single"/>
        </w:rPr>
        <w:t xml:space="preserve">uniform CPA</w:t>
      </w:r>
      <w:r>
        <w:t xml:space="preserve"> [</w:t>
      </w:r>
      <w:r>
        <w:rPr>
          <w:strike/>
        </w:rPr>
        <w:t xml:space="preserve">written</w:t>
      </w:r>
      <w:r>
        <w:t xml:space="preserve">] examination conducted by the board for the purpose of granting a certificate of "certified public accountant." An applicant for a scholarship under this subchapter shall state such an intent by filing a form provided by the board stating an intent to take the examination.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33.01(15-a), Penal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(15-a)</w:t>
      </w:r>
      <w:r xml:space="preserve">
        <w:t> </w:t>
      </w:r>
      <w:r xml:space="preserve">
        <w:t> </w:t>
      </w:r>
      <w:r>
        <w:t xml:space="preserve">"Privileged information"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protected health information, as that term is defined by Section 182.002, Health and Safety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information that is subject to the attorney-client privilege;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information that is subject to [</w:t>
      </w:r>
      <w:r>
        <w:rPr>
          <w:strike/>
        </w:rPr>
        <w:t xml:space="preserve">the</w:t>
      </w:r>
      <w:r>
        <w:t xml:space="preserve">] accountant-client </w:t>
      </w:r>
      <w:r>
        <w:rPr>
          <w:u w:val="single"/>
        </w:rPr>
        <w:t xml:space="preserve">confidentiality</w:t>
      </w:r>
      <w:r>
        <w:t xml:space="preserve"> [</w:t>
      </w:r>
      <w:r>
        <w:rPr>
          <w:strike/>
        </w:rPr>
        <w:t xml:space="preserve">privilege</w:t>
      </w:r>
      <w:r>
        <w:t xml:space="preserve">] under Section 901.457, Occupations Code, or other law, if the information is on a computer, computer network, or computer system owned by a person possessing a license issued under Subchapter H, Chapter 901, Occupations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901.054(b), Occupations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