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88R9564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2219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on nurse-to-patient ratios for critical care patients in health care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(a) In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"Commission" means the Health and Human Services Commission.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"Critical care" means medical care for an individual who has a life-threatening injury or illness.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"Direct care registered nurse" means a registered nurse licensed by the Texas Board of Nursing to engage in professional nursing under Chapter 301, Occupations Code, who has accepted a direct, hands-on patient care assignment to implement medical and nursing regimens and provide related clinical supervision of patient care.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commission, in consultation with the United States Department of Health and Human Services, shall conduct a study to evaluate the outcomes and efficacy of limiting the number of patients whose severity of illness requires  critical care at a health care facility and who are assigned to a direct care registered nurse at any given time.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Not later than December 1, 2024, the commission shall prepare and submit to the governor and the legislature a written report containing the results of the study and any recommendations for legislative or other action. </w:t>
      </w:r>
      <w:r>
        <w:t xml:space="preserve"> </w:t>
      </w:r>
      <w:r>
        <w:t xml:space="preserve">The commission shall post the report on the commission's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expires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2219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