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88R9837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2228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housing tax credits to developments within proximate geographical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2306.6711, Government Code, is amended by amending Subsection (f) and adding Subsections (f-2) and (f-3) to read as follows:</w:t>
      </w:r>
    </w:p>
    <w:p w:rsidR="003F3435" w:rsidRDefault="0032493E">
      <w:pPr>
        <w:spacing w:line="480" w:lineRule="auto"/>
        <w:ind w:firstLine="720"/>
        <w:jc w:val="both"/>
      </w:pPr>
      <w:r>
        <w:t xml:space="preserve">(f)</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(f-1) </w:t>
      </w:r>
      <w:r>
        <w:rPr>
          <w:u w:val="single"/>
        </w:rPr>
        <w:t xml:space="preserve">and (f-2)</w:t>
      </w:r>
      <w:r>
        <w:t xml:space="preserve">, the board may allocate housing tax credits to more than one development in a single community, as defined by department rule, in the same calendar year only if the developments are or will be located more than two linear miles apart.  This subsection applies only to communities contained within counties with populations exceeding one million.</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board may allocate housing tax credits to more than one development in a single community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development scores above average on the opportunity index under department rule based on the average opportunity index score for developments that were allocated housing tax credits in the preceding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of the developments will be located wholly within a census tract in which the median value of owner-occupied homes has increased by 15 percent or more within the five years preceding the date of the application,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governing body of the municipality containing the development or, if located outside a municipality, the county containing the development adopts a resolution that references this section and authorizes an allocation of housing tax credits for the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for the development includes in the application a copy of the resolution described by Paragraph (A).</w:t>
      </w:r>
      <w:r>
        <w:t xml:space="preserve"> </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Not later than the first week of each year, the department shall prepare and publish on the department's Internet website the average opportunity index score for developments that were allocated housing tax credits during the preceding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