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88R17417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2231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2231:</w:t>
      </w: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C.S.H.B.</w:t>
      </w:r>
      <w:r xml:space="preserve">
        <w:t> </w:t>
      </w:r>
      <w:r>
        <w:t xml:space="preserve">No.</w:t>
      </w:r>
      <w:r xml:space="preserve">
        <w:t> </w:t>
      </w:r>
      <w:r>
        <w:t xml:space="preserve">2231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events for funding under the major events reimbursement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rPr>
          <w:u w:val="single"/>
        </w:rPr>
        <w:t xml:space="preserve">the Bassmaster Classic;</w:t>
      </w:r>
    </w:p>
    <w:p w:rsidR="003F3435" w:rsidRDefault="0032493E">
      <w:pPr>
        <w:spacing w:line="480" w:lineRule="auto"/>
        <w:ind w:firstLine="2160"/>
        <w:jc w:val="both"/>
      </w:pPr>
      <w:r>
        <w:rPr>
          <w:u w:val="single"/>
        </w:rPr>
        <w:t xml:space="preserve">(D)</w:t>
      </w:r>
      <w:r xml:space="preserve">
        <w:t> </w:t>
      </w:r>
      <w:r xml:space="preserve">
        <w:t> </w:t>
      </w:r>
      <w:r>
        <w:t xml:space="preserve">a Big 12 Football Conference Championship game;</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Breeders' Cup World Championships;</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game of the College Football Playoff or its successor;</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(H)</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(I)</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Federation Equestre Internationale World Cup Final;</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Federation Internationale de Motocyclisme (FIM) World Supercross Championship race;</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w:t>
      </w:r>
      <w:r xml:space="preserve">
        <w:t> </w:t>
      </w:r>
      <w:r>
        <w:t xml:space="preserve">[</w:t>
      </w:r>
      <w:r>
        <w:rPr>
          <w:strike/>
        </w:rPr>
        <w:t xml:space="preserve">(H)</w:t>
      </w:r>
      <w:r xml:space="preserve">
        <w:rPr>
          <w:strike/>
        </w:rPr>
        <w:t> </w:t>
      </w:r>
      <w:r xml:space="preserve">
        <w:rPr>
          <w:strike/>
        </w:rPr>
        <w:t> </w:t>
      </w:r>
      <w:r>
        <w:rPr>
          <w:strike/>
        </w:rPr>
        <w:t xml:space="preserve">a</w:t>
      </w:r>
      <w:r>
        <w:t xml:space="preserve">] Formula One </w:t>
      </w:r>
      <w:r>
        <w:rPr>
          <w:u w:val="single"/>
        </w:rPr>
        <w:t xml:space="preserve">United States Grand Prix</w:t>
      </w:r>
      <w:r>
        <w:t xml:space="preserve"> [</w:t>
      </w:r>
      <w:r>
        <w:rPr>
          <w:strike/>
        </w:rPr>
        <w:t xml:space="preserve">automobile race</w:t>
      </w:r>
      <w:r>
        <w:t xml:space="preserve">];</w:t>
      </w:r>
    </w:p>
    <w:p w:rsidR="003F3435" w:rsidRDefault="0032493E">
      <w:pPr>
        <w:spacing w:line="480" w:lineRule="auto"/>
        <w:ind w:firstLine="2160"/>
        <w:jc w:val="both"/>
      </w:pPr>
      <w:r>
        <w:rPr>
          <w:u w:val="single"/>
        </w:rPr>
        <w:t xml:space="preserve">(M)</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(N)</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(O)</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(P)</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(Q)</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(R)</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(S)</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(T)</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(U)</w:t>
      </w:r>
      <w:r xml:space="preserve">
        <w:t> </w:t>
      </w:r>
      <w:r>
        <w:t xml:space="preserve">[</w:t>
      </w:r>
      <w:r>
        <w:rPr>
          <w:strike/>
        </w:rPr>
        <w:t xml:space="preserve">(Q)</w:t>
      </w:r>
      <w:r>
        <w:t xml:space="preserve">]</w:t>
      </w:r>
      <w:r xml:space="preserve">
        <w:t> </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(V)</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(W)</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(X)</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(Y)</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(Z)</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(AA)</w:t>
      </w:r>
      <w:r xml:space="preserve">
        <w:t> </w:t>
      </w:r>
      <w:r>
        <w:t xml:space="preserve">[</w:t>
      </w:r>
      <w:r>
        <w:rPr>
          <w:strike/>
        </w:rPr>
        <w:t xml:space="preserve">(V)</w:t>
      </w:r>
      <w:r>
        <w:t xml:space="preserve">]</w:t>
      </w:r>
      <w:r xml:space="preserve">
        <w:t> </w:t>
      </w:r>
      <w:r xml:space="preserve">
        <w:t> </w:t>
      </w:r>
      <w:r>
        <w:t xml:space="preserve">a championship event in the National Reined Cow Horse Association (NRCHA) Championship Series;</w:t>
      </w:r>
    </w:p>
    <w:p w:rsidR="003F3435" w:rsidRDefault="0032493E">
      <w:pPr>
        <w:spacing w:line="480" w:lineRule="auto"/>
        <w:ind w:firstLine="2160"/>
        <w:jc w:val="both"/>
      </w:pPr>
      <w:r>
        <w:rPr>
          <w:u w:val="single"/>
        </w:rPr>
        <w:t xml:space="preserve">(BB)</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(CC)</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(DD) the Professional Bull Riders World Finals;</w:t>
      </w:r>
    </w:p>
    <w:p w:rsidR="003F3435" w:rsidRDefault="0032493E">
      <w:pPr>
        <w:spacing w:line="480" w:lineRule="auto"/>
        <w:ind w:firstLine="2160"/>
        <w:jc w:val="both"/>
      </w:pPr>
      <w:r>
        <w:rPr>
          <w:u w:val="single"/>
        </w:rPr>
        <w:t xml:space="preserve">(EE)</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(FF)</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(GG)</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(HH)</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(II)</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(JJ)</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(KK)</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rPr>
          <w:u w:val="single"/>
        </w:rPr>
        <w:t xml:space="preserve">Bass Anglers Sportsman Society, LLC;</w:t>
      </w:r>
    </w:p>
    <w:p w:rsidR="003F3435" w:rsidRDefault="0032493E">
      <w:pPr>
        <w:spacing w:line="480" w:lineRule="auto"/>
        <w:ind w:firstLine="2160"/>
        <w:jc w:val="both"/>
      </w:pPr>
      <w:r>
        <w:rPr>
          <w:u w:val="single"/>
        </w:rPr>
        <w:t xml:space="preserve">(D)</w:t>
      </w:r>
      <w:r xml:space="preserve">
        <w:t> </w:t>
      </w:r>
      <w:r xml:space="preserve">
        <w:t> </w:t>
      </w:r>
      <w:r>
        <w:t xml:space="preserve">the Big 12 Conference;</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College Football Playoff Administration, LLC, or its successor;</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(G)</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(H)</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(I)</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(J)</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(K)</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(L)</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Federation Equestre Internationale (FEI);</w:t>
      </w:r>
    </w:p>
    <w:p w:rsidR="003F3435" w:rsidRDefault="0032493E">
      <w:pPr>
        <w:spacing w:line="480" w:lineRule="auto"/>
        <w:ind w:firstLine="2160"/>
        <w:jc w:val="both"/>
      </w:pPr>
      <w:r>
        <w:rPr>
          <w:u w:val="single"/>
        </w:rPr>
        <w:t xml:space="preserve">(N)</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(O)</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(P)</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(Q)</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(R)</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(S)</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(U)</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(V)</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(W)</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(X)</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(Y)</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Professional Bull Riders, LLC;</w:t>
      </w:r>
    </w:p>
    <w:p w:rsidR="003F3435" w:rsidRDefault="0032493E">
      <w:pPr>
        <w:spacing w:line="480" w:lineRule="auto"/>
        <w:ind w:firstLine="2160"/>
        <w:jc w:val="both"/>
      </w:pPr>
      <w:r>
        <w:rPr>
          <w:u w:val="single"/>
        </w:rPr>
        <w:t xml:space="preserve">(AA)</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(BB)</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(CC)</w:t>
      </w:r>
      <w:r>
        <w:rPr>
          <w:u w:val="single"/>
        </w:rPr>
        <w:t xml:space="preserve"> </w:t>
      </w:r>
      <w:r>
        <w:rPr>
          <w:u w:val="single"/>
        </w:rPr>
        <w:t xml:space="preserve"> </w:t>
      </w:r>
      <w:r>
        <w:rPr>
          <w:u w:val="single"/>
        </w:rPr>
        <w:t xml:space="preserve">SX Global;</w:t>
      </w:r>
    </w:p>
    <w:p w:rsidR="003F3435" w:rsidRDefault="0032493E">
      <w:pPr>
        <w:spacing w:line="480" w:lineRule="auto"/>
        <w:ind w:firstLine="2160"/>
        <w:jc w:val="both"/>
      </w:pPr>
      <w:r>
        <w:rPr>
          <w:u w:val="single"/>
        </w:rPr>
        <w:t xml:space="preserve">(DD)</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(EE)</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(FF)</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(GG)</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(HH)</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 </w:t>
      </w:r>
      <w:r>
        <w:rPr>
          <w:u w:val="single"/>
        </w:rPr>
        <w:t xml:space="preserve">or its successor</w:t>
      </w:r>
      <w:r>
        <w:t xml:space="preserve">;</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478.0053, Government Code, is amended to read as follows:</w:t>
      </w:r>
    </w:p>
    <w:p w:rsidR="003F3435" w:rsidRDefault="0032493E">
      <w:pPr>
        <w:spacing w:line="480" w:lineRule="auto"/>
        <w:ind w:firstLine="720"/>
        <w:jc w:val="both"/>
      </w:pPr>
      <w:r>
        <w:t xml:space="preserve">Sec.</w:t>
      </w:r>
      <w:r xml:space="preserve">
        <w:t> </w:t>
      </w:r>
      <w:r>
        <w:t xml:space="preserve">478.0053.</w:t>
      </w:r>
      <w:r xml:space="preserve">
        <w:t> </w:t>
      </w:r>
      <w:r xml:space="preserve">
        <w:t> </w:t>
      </w:r>
      <w:r>
        <w:t xml:space="preserve">EXEMPTION FROM CERTAIN ELIGIBILITY REQUIREMENT FOR CERTAIN LARGE VENUES. </w:t>
      </w:r>
      <w:r>
        <w:t xml:space="preserve"> </w:t>
      </w:r>
      <w:r>
        <w:t xml:space="preserve">Section 478.0051(b)(1) does not apply to an event described by Section </w:t>
      </w:r>
      <w:r>
        <w:rPr>
          <w:u w:val="single"/>
        </w:rPr>
        <w:t xml:space="preserve">478.0001(3)(M)</w:t>
      </w:r>
      <w:r>
        <w:t xml:space="preserve"> </w:t>
      </w:r>
      <w:r>
        <w:t xml:space="preserve">[</w:t>
      </w:r>
      <w:r>
        <w:rPr>
          <w:strike/>
        </w:rPr>
        <w:t xml:space="preserve">478.0001(3)(H)</w:t>
      </w:r>
      <w:r>
        <w:t xml:space="preserve">]. </w:t>
      </w:r>
      <w:r>
        <w:t xml:space="preserve"> </w:t>
      </w:r>
      <w:r>
        <w:t xml:space="preserve">If an endorsing municipality or endorsing county requests the office to make a determination under Section 478.0102 for an event described by Section </w:t>
      </w:r>
      <w:r>
        <w:rPr>
          <w:u w:val="single"/>
        </w:rPr>
        <w:t xml:space="preserve">478.0001(3)(M)</w:t>
      </w:r>
      <w:r xml:space="preserve">
        <w:t> </w:t>
      </w:r>
      <w:r xml:space="preserve">
        <w:t> </w:t>
      </w:r>
      <w:r>
        <w:t xml:space="preserve">[</w:t>
      </w:r>
      <w:r>
        <w:rPr>
          <w:strike/>
        </w:rPr>
        <w:t xml:space="preserve">478.0001(3)(H)</w:t>
      </w:r>
      <w:r>
        <w:t xml:space="preserve">], the remaining provisions of this chapter apply to that event as if the event satisfied the eligibility requirements under Section 478.0051(b)(1).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