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88R4361 SCL-F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2232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county authority to cancel subdivisions in the extraterritorial jurisdiction of a municipality.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232.008(a),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real property located outside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municipality;</w:t>
      </w:r>
      <w:r>
        <w:t xml:space="preserve"> [</w:t>
      </w:r>
      <w:r>
        <w:rPr>
          <w:strike/>
        </w:rPr>
        <w:t xml:space="preserve">municipalities</w:t>
      </w:r>
      <w:r>
        <w:t xml:space="preserve">]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area in the</w:t>
      </w:r>
      <w:r>
        <w:t xml:space="preserve"> extraterritorial jurisdiction of </w:t>
      </w:r>
      <w:r>
        <w:rPr>
          <w:u w:val="single"/>
        </w:rPr>
        <w:t xml:space="preserve">a municipality not subject to an agreement described 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242.001(d)(2);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242.001(d)(3) that apportions the area to a county</w:t>
      </w:r>
      <w:r>
        <w:t xml:space="preserve"> [</w:t>
      </w:r>
      <w:r>
        <w:rPr>
          <w:strike/>
        </w:rPr>
        <w:t xml:space="preserve">municipalities, as determined under Chapter 42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