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88R5468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Harris, Price, Wu,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A. Johnson of Harris,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child first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265, Family Code, is amended by adding Subchapter E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E. CHILD FIRST GRANT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CHILD FIRST GRANT PROGRAM.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operate a child first grant program through which the department will award grants to implement, expand, and maintain child first programs in the state.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considered for a grant under this subchapter, an applicant must, at a minimum: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nonprofit organization that is exempt from federal income taxation under Section 501(a), Internal Revenue Code of 1986, by being listed as an exempt entity under Section 501(c)(3) of that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demonstrate a commitment to a family-centered, system of care approach to providing comprehensive, coordinated services to children and families;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experience providing successful early childhood mental health or prevention services for low-income, high-risk families;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experience in providing home-based services to children and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FIRST PROGRAM REQUIREMENTS.  A child first program awarded a grant under this subchapter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based on the program model developed by the Child First National Service Office;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 team consisting of a master's level licensed mental health or developmental clinician and a bachelor's level care coordinator regularly visit the homes of families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child and parent mental health;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 school readiness;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decrease child abuse and neglect;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the immediate and long-term health and well-being of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FIRST PROGRAM STANDARDS.  The commissioner, with the assistance of the Child First National Service Office, shall adopt standards for programs awarded grants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265.204.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FUNDING.  The department may solicit, contract for, receive, accept, or administer gifts, grants, and donations of money or property from any source for purposes of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