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88R5468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child first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265, Family Code, is amended by adding Subchapter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E. CHILD FIRST GRANT PROGRAM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CHILD FIRST GRANT PROGRAM.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operate a child first grant program through which the department will award grants to implement, expand, and maintain child first programs in the state.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be considered for a grant under this subchapter, an applicant must, at a minimum: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 nonprofit organization that is exempt from federal income taxation under Section 501(a), Internal Revenue Code of 1986, by being listed as an exempt entity under Section 501(c)(3) of that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demonstrate a commitment to a family-centered, system of care approach to providing comprehensive, coordinated services to children and families;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experience providing successful early childhood mental health or prevention services for low-income, high-risk families;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experience in providing home-based services to children and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 FIRST PROGRAM REQUIREMENTS.  A child first program awarded a grant under this subchapter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based on the program model developed by the Child First National Service Office;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 team consisting of a master's level licensed mental health or developmental clinician and a bachelor's level care coordinator regularly visit the homes of families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child and parent mental health;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 school readiness;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 child abuse and neglect;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the immediate and long-term health and well-being of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 FIRST PROGRAM STANDARDS.  The commissioner, with the assistance of the Child First National Service Office, shall adopt standards for programs awarded grants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FUNDING.  The department may solicit, contract for, receive, accept, or administer gifts, grants, and donations of money or property from any source for purposes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