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88R3333 DIO-D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dog and cat breeders; expanding the applicability of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"Dog or cat breeder" means a person who possesses </w:t>
      </w:r>
      <w:r>
        <w:rPr>
          <w:u w:val="single"/>
        </w:rPr>
        <w:t xml:space="preserve">five</w:t>
      </w:r>
      <w:r>
        <w:t xml:space="preserve"> [</w:t>
      </w:r>
      <w:r>
        <w:rPr>
          <w:strike/>
        </w:rPr>
        <w:t xml:space="preserve">11</w:t>
      </w:r>
      <w:r>
        <w:t xml:space="preserve">] or more adult intact female animals and is engaged in the business of breeding those animals for direct or indirect sale or for exchange in return for consideration [</w:t>
      </w:r>
      <w:r>
        <w:rPr>
          <w:strike/>
        </w:rPr>
        <w:t xml:space="preserve">and who sells or exchanges, or offers to sell or exchange, not fewer than 20 animals in a calendar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Licensing and Regulation shall prescribe the forms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802.002(8), Occupations Code, as amended by this Act, a dog or cat breeder who possesses five or more but fewer than 11 adult intact female animals and is engaged in the business of breeding those animals for direct or indirect sale or for exchange in return for consideration is not required to hold a license under Chapter 802, Occupations Code, to act as a dog or cat breeder before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