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Troxclair, Bailes, Burns, Thimesch,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2239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Patterson, et al.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municipal regulation of the removal of an Ashe juniper tree.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212.905(h),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A municipality may not prohibit the removal of or impose a tree mitigation fee for the removal of [</w:t>
      </w:r>
      <w:r>
        <w:rPr>
          <w:strike/>
        </w:rPr>
        <w:t xml:space="preserve">a tree that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a tree that</w:t>
      </w:r>
      <w:r>
        <w:t xml:space="preserve"> is diseased or dead;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 tree that</w:t>
      </w:r>
      <w:r>
        <w:t xml:space="preserve"> poses an imminent or immediate threat to persons or property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Ashe juniper tree located on a residential </w:t>
      </w:r>
      <w:r>
        <w:rPr>
          <w:u w:val="single"/>
        </w:rPr>
        <w:t xml:space="preserve">property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