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88R3383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Troxclair, Bailes, Burns, Thimesch,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Patterson,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regulation of the removal of an Ashe juniper tree.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212.905(h),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municipality may not prohibit the removal of or impose a tree mitigation fee for the removal of [</w:t>
      </w:r>
      <w:r>
        <w:rPr>
          <w:strike/>
        </w:rPr>
        <w:t xml:space="preserve">a tree that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is diseased or dead;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poses an imminent or immediate threat to persons or property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Ashe juniper tree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