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88R3514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Troxclair</w:t>
      </w:r>
      <w:r xml:space="preserve">
        <w:tab wTab="150" tlc="none" cTlc="0"/>
      </w:r>
      <w:r>
        <w:t xml:space="preserve">H.B.</w:t>
      </w:r>
      <w:r xml:space="preserve">
        <w:t> </w:t>
      </w:r>
      <w:r>
        <w:t xml:space="preserve">No.</w:t>
      </w:r>
      <w:r xml:space="preserve">
        <w:t> </w:t>
      </w:r>
      <w:r>
        <w:t xml:space="preserve">2240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recipients and subrecipients of financial assistance administered by the Texas Department of Housing and Community Affairs.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2306.111, Government Code, is amended by adding Subsection (j) to read as follows: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department by rule shall adopt policies to ensure that each recipient or subrecipient of financial assistance administered by the department, including financial assistance from the proceeds of bonds issued by the department,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citizen of the United States;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authorized to be present in the United States by the United States agency responsible for citizenship and immigration.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The change in law made by this Act in adding Section 2306.111(j), Government Code, applies only to an application for financial assistance that is submitted to the Texas Department of Housing and Community Affairs on or after January 1, 2024. </w:t>
      </w:r>
      <w:r>
        <w:t xml:space="preserve"> </w:t>
      </w:r>
      <w:r>
        <w:t xml:space="preserve">An application for financial assistance that is submitted to the department before January 1, 2024, is governed by the law in effect when the application was submitted,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Not later than December 1, 2023, the Texas Department of Housing and Community Affairs shall adopt the rules required by Section 2306.111(j),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