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88R7251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and operation of an interactive water feature or fountain.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341.0695, Health and Safety Code, is amended by amending Subsection (d) and adding Subsections (i-2) and (l)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Except as provided by Subsection (f), a minimum free residual chlorine of </w:t>
      </w:r>
      <w:r>
        <w:rPr>
          <w:u w:val="single"/>
        </w:rPr>
        <w:t xml:space="preserve">2.0 parts</w:t>
      </w:r>
      <w:r>
        <w:t xml:space="preserve"> [</w:t>
      </w:r>
      <w:r>
        <w:rPr>
          <w:strike/>
        </w:rPr>
        <w:t xml:space="preserve">1.0 part</w:t>
      </w:r>
      <w:r>
        <w:t xml:space="preserve">] for each one million units of water used in an interactive water feature or fountain must be maintained.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to a county with an interactive water feature or fountain wholly or partly located in the county's unincorporated area or a municipality with an interactive water feature or fountain wholly located in the municipality.  For each interactive water feature or fountain subject to this section, the applicable county or municipality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person operating the interactive water feature or fountain to manually test and record the feature's or fountain's chemical levels every three to four hours during operating hours;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inspect the interactive water feature or fountain at least twice annually for compliance with this subsection;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prepare a report containing the manual chemical level test results recorded under Subdivision (1) and make the report available to the public.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(l)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interactive water feature or fountain constructed after December 31, 2023, must include a chemical controller system and automatic shut-off valves for low chemical levels.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