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judicial review of certain local laws applicable to state license holders.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Regulations with Economic Impact in Need of Scrutiny (REINS)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purpose of this Act is to provide a judicial remedy to ensure that a state license holder has the right to engage in an occupation or business activity authorized by and regulated under state law without burdensome or inconsistent local regulation of the state license holder's occupation or lawful business activities.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Title 2, Occupations Code, is amended by adding Chapter 60 to read as follows:</w:t>
      </w:r>
    </w:p>
    <w:p w:rsidR="003F3435" w:rsidRDefault="0032493E">
      <w:pPr>
        <w:spacing w:line="480" w:lineRule="auto"/>
        <w:jc w:val="center"/>
      </w:pPr>
      <w:r>
        <w:rPr>
          <w:u w:val="single"/>
        </w:rPr>
        <w:t xml:space="preserve">CHAPTER 60.  JUDICIAL REVIEW OF CERTAIN LOCAL LAWS AFFECTING LICENSE 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law" means an ordinance, rule, regulation, or other measure adopted by the governing body of a municipality that establishes requirements for, imposes restrictions on, or otherwise regulates the occupation or business activity of a license holder within the municipality or the municipality's extraterritorial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 holder"</w:t>
      </w:r>
      <w:r>
        <w:rPr>
          <w:u w:val="single"/>
        </w:rPr>
        <w:t xml:space="preserve"> </w:t>
      </w:r>
      <w:r>
        <w:rPr>
          <w:u w:val="single"/>
        </w:rPr>
        <w:t xml:space="preserve">means an individual or entity that, under state law, in order to practice the individual's occupation or conduct the entity's business in this state, is required to obtain a license, permit, registration certificate, or other evidence of authority from, and is subject to regulation by, a state licensing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licensing authority"</w:t>
      </w:r>
      <w:r>
        <w:rPr>
          <w:u w:val="single"/>
        </w:rPr>
        <w:t xml:space="preserve"> </w:t>
      </w:r>
      <w:r>
        <w:rPr>
          <w:u w:val="single"/>
        </w:rPr>
        <w:t xml:space="preserve">means a state agency, department, board, or commission or the executive or administrative officer of a state agency, department, board, or commission that issues a license, permit, registration certificate, or other evidence of authority to an individual or entity authorizing the individual to practice the individual's occupation or the entity to conduct the entity's business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60.002.</w:t>
      </w:r>
      <w:r>
        <w:rPr>
          <w:u w:val="single"/>
        </w:rPr>
        <w:t xml:space="preserve"> </w:t>
      </w:r>
      <w:r>
        <w:rPr>
          <w:u w:val="single"/>
        </w:rPr>
        <w:t xml:space="preserve"> </w:t>
      </w:r>
      <w:r>
        <w:rPr>
          <w:u w:val="single"/>
        </w:rPr>
        <w:t xml:space="preserve">SUIT TO ENJOIN ENFORCEMENT OF CERTAIN LOCAL LAWS AFFECTING LICENSE HOLDERS.  (a)  A license holder subject to a local law may bring an action under this section to enjoin the enforcement of the local law if the local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establishes requirements for, imposes restrictions on, or otherwise regulates the occupation or business activity of the license holder in a manner that is more stringent than the requirements, restrictions, or regulations imposed on the license holder under state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result in an adverse economic impact on the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must bring the action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that includes any territory of the municipality that adopted the local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Travis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license holder bringing the action under this section must show by a preponderance of the evidence that the local law is a local law described by Subsection (a).  The license holder may provide evidence regarding the adverse economic impact of similar local laws in other jurisdictions inside or outside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license holder satisfies the burden of proof required by Subsection (c), the municipality defending the action has the burden of establishing by clear and convincing evidence that the local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conflict with state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necessary and narrowly tailored to protect against actual and specific harm to the public's health or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may grant any prohibitory or mandatory relief warranted by the facts, including a temporary restraining order, temporary injunction, or permanent injunction.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license holder prevails in the action, the court shall award to the license holder court costs and reasonable and necessary attorney's fees to be paid by the municipality defending the action.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to a local law that establishes requirements for, imposes restrictions on, or otherwise regulates: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sexually oriented business under Chapter 243,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massage parlor as defined by Section 234.101, Local Government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conduct under Chapter 393, Finance Code, and any conduct related to a credit services organization, as defined by Section 393.001, Finance Code, or a credit access business, as defined by Section 393.601, Finance Code, if the local law: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adopted before January 1, 2023;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would have been valid under the law as it existed before the date this chapter was enacted.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may not bring an action under this section against a municipality if the license holder is an employee of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association of municipal employees who are license holders may not bring an action under this section if the action relates to a local law governing the working conditions of those employees.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