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88R6679 MLH-F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H.B.</w:t>
      </w:r>
      <w:r xml:space="preserve">
        <w:t> </w:t>
      </w:r>
      <w:r>
        <w:t xml:space="preserve">No.</w:t>
      </w:r>
      <w:r xml:space="preserve">
        <w:t> </w:t>
      </w:r>
      <w:r>
        <w:t xml:space="preserve">2268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matters referred to an associate judge under the Family Code.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201.005(a) and (d), Family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this section, a judge of a court may refer to an associate judge any aspect of a suit </w:t>
      </w:r>
      <w:r>
        <w:rPr>
          <w:u w:val="single"/>
        </w:rPr>
        <w:t xml:space="preserve">or action, including any matter ancillary to the suit or action,</w:t>
      </w:r>
      <w:r>
        <w:t xml:space="preserve"> over which the court has jurisdiction under</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this title</w:t>
      </w:r>
      <w:r>
        <w:rPr>
          <w:u w:val="single"/>
        </w:rPr>
        <w:t xml:space="preserve">;</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w:t>
      </w:r>
      <w:r>
        <w:t xml:space="preserve">] Title 1</w:t>
      </w:r>
      <w:r>
        <w:rPr>
          <w:u w:val="single"/>
        </w:rPr>
        <w:t xml:space="preserve">;</w:t>
      </w:r>
    </w:p>
    <w:p w:rsidR="003F3435" w:rsidRDefault="0032493E">
      <w:pPr>
        <w:spacing w:line="480" w:lineRule="auto"/>
        <w:ind w:firstLine="1440"/>
        <w:jc w:val="both"/>
      </w:pPr>
      <w:r>
        <w:rPr>
          <w:u w:val="single"/>
        </w:rPr>
        <w:t xml:space="preserve">(3)</w:t>
      </w:r>
      <w:r xml:space="preserve">
        <w:t> </w:t>
      </w:r>
      <w:r xml:space="preserve">
        <w:t> </w:t>
      </w:r>
      <w:r>
        <w:t xml:space="preserve">[</w:t>
      </w:r>
      <w:r>
        <w:rPr>
          <w:strike/>
        </w:rPr>
        <w:t xml:space="preserve">,</w:t>
      </w:r>
      <w:r>
        <w:t xml:space="preserve">] Chapter </w:t>
      </w:r>
      <w:r>
        <w:rPr>
          <w:u w:val="single"/>
        </w:rPr>
        <w:t xml:space="preserve">35, 35A, or</w:t>
      </w:r>
      <w:r>
        <w:t xml:space="preserve"> 45</w:t>
      </w:r>
      <w:r>
        <w:rPr>
          <w:u w:val="single"/>
        </w:rPr>
        <w:t xml:space="preserve">;</w:t>
      </w:r>
    </w:p>
    <w:p w:rsidR="003F3435" w:rsidRDefault="0032493E">
      <w:pPr>
        <w:spacing w:line="480" w:lineRule="auto"/>
        <w:ind w:firstLine="1440"/>
        <w:jc w:val="both"/>
      </w:pPr>
      <w:r>
        <w:rPr>
          <w:u w:val="single"/>
        </w:rPr>
        <w:t xml:space="preserve">(4)</w:t>
      </w:r>
      <w:r xml:space="preserve">
        <w:t> </w:t>
      </w:r>
      <w:r xml:space="preserve">
        <w:t> </w:t>
      </w:r>
      <w:r>
        <w:t xml:space="preserve">[</w:t>
      </w:r>
      <w:r>
        <w:rPr>
          <w:strike/>
        </w:rPr>
        <w:t xml:space="preserve">, or</w:t>
      </w:r>
      <w:r>
        <w:t xml:space="preserve">] Title 4</w:t>
      </w:r>
      <w:r>
        <w:rPr>
          <w:u w:val="single"/>
        </w:rPr>
        <w:t xml:space="preserv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Subchapter A, Chapter 7B, Code of Criminal Procedure;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Chapter 24A, Property Code</w:t>
      </w:r>
      <w:r>
        <w:t xml:space="preserve"> [</w:t>
      </w:r>
      <w:r>
        <w:rPr>
          <w:strike/>
        </w:rPr>
        <w:t xml:space="preserve">, including any matter ancillary to the suit</w:t>
      </w:r>
      <w:r>
        <w:t xml:space="preserve">].</w:t>
      </w:r>
    </w:p>
    <w:p w:rsidR="003F3435" w:rsidRDefault="0032493E">
      <w:pPr>
        <w:spacing w:line="480" w:lineRule="auto"/>
        <w:ind w:firstLine="720"/>
        <w:jc w:val="both"/>
      </w:pPr>
      <w:r>
        <w:t xml:space="preserve">(d)</w:t>
      </w:r>
      <w:r xml:space="preserve">
        <w:t> </w:t>
      </w:r>
      <w:r xml:space="preserve">
        <w:t> </w:t>
      </w:r>
      <w:r>
        <w:t xml:space="preserve">The requirements of Subsections (b) and (c) shall apply whenever a judge has authority to refer the trial of a suit </w:t>
      </w:r>
      <w:r>
        <w:rPr>
          <w:u w:val="single"/>
        </w:rPr>
        <w:t xml:space="preserve">or action described by Subsection (a)</w:t>
      </w:r>
      <w:r>
        <w:t xml:space="preserve"> [</w:t>
      </w:r>
      <w:r>
        <w:rPr>
          <w:strike/>
        </w:rPr>
        <w:t xml:space="preserve">under this title, Title 1, Chapter 45, or Title 4</w:t>
      </w:r>
      <w:r>
        <w:t xml:space="preserve">] to an associate judge, master, or other assistant judge regardless of whether the assistant judge is appointed under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suit or application that is filed on or after the effective date of this Act.  A suit or application filed before the effective date of this Act is governed by the law in effect on the date the suit or application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