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aquaculture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Agriculture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POLICY: AQUACULTURE.  (a)  In this section, "aquaculture" has the meaning assigned by Section 134.001.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agricultural policy of this state must recognize that aquaculture is a type of agriculture and must be awarded the same rights, privileges, and protections as any other type of agricultural operation.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134.001(1),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"Cultured species" means aquatic animals </w:t>
      </w:r>
      <w:r>
        <w:rPr>
          <w:u w:val="single"/>
        </w:rPr>
        <w:t xml:space="preserve">or plants</w:t>
      </w:r>
      <w:r>
        <w:t xml:space="preserve"> raised under conditions where at least a portion of their life cycle is controlled by an aquaculturist.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aquaculture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2271 was passed by the House on May 3, 2023, by the following vote:</w:t>
      </w:r>
      <w:r xml:space="preserve">
        <w:t> </w:t>
      </w:r>
      <w:r xml:space="preserve">
        <w:t> </w:t>
      </w:r>
      <w:r>
        <w:t xml:space="preserve">Yeas 143,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2271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