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88R7991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protection of aquaculture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2, Agriculture Code, is amended by adding Section 2.007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POLICY: AQUACULTURE.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"aquaculture" has the meaning assigned by Section 134.001.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agricultural policy of this state must recognize that aquaculture is a type of agriculture and must be awarded the same rights, privileges, and protections as any other type of agricultural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251.002(1), Agriculture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"Agricultural operation" includes the following activities: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cultivating the soil;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producing crops for human food, animal feed, planting seed, or fiber;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floriculture;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viticulture;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horticulture;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silviculture;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wildlife management;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raising or keeping livestock or poultry;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planting cover crops or leaving land idle for the purpose of participating in any governmental program or normal crop or livestock rotation procedure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aquaculture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