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88R9909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 et al.</w:t>
      </w:r>
      <w:r xml:space="preserve">
        <w:tab wTab="150" tlc="none" cTlc="0"/>
      </w:r>
      <w:r>
        <w:t xml:space="preserve">H.B.</w:t>
      </w:r>
      <w:r xml:space="preserve">
        <w:t> </w:t>
      </w:r>
      <w:r>
        <w:t xml:space="preserve">No.</w:t>
      </w:r>
      <w:r xml:space="preserve">
        <w:t> </w:t>
      </w:r>
      <w:r>
        <w:t xml:space="preserve">2291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or possession of a handgun by certain retired judges and justices.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w:t>
      </w:r>
      <w:r>
        <w:rPr>
          <w:u w:val="single"/>
        </w:rPr>
        <w:t xml:space="preserve">or retired</w:t>
      </w:r>
      <w:r>
        <w:t xml:space="preser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retired after serving as a judge or justice described by Section 411.201(a)(1),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licensed to carry a handgun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when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