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88R9909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2291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carrying or possession of a handgun by certain retired judges and justices.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46.15(a), Penal Code, is amended to read as follows:</w:t>
      </w:r>
    </w:p>
    <w:p w:rsidR="003F3435" w:rsidRDefault="0032493E">
      <w:pPr>
        <w:spacing w:line="480" w:lineRule="auto"/>
        <w:ind w:firstLine="720"/>
        <w:jc w:val="both"/>
      </w:pPr>
      <w:r>
        <w:t xml:space="preserve">(a)</w:t>
      </w:r>
      <w:r xml:space="preserve">
        <w:t> </w:t>
      </w:r>
      <w:r xml:space="preserve">
        <w:t> </w:t>
      </w:r>
      <w:r>
        <w:t xml:space="preserve">Sections 46.02 and 46.03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2.122, Code of Criminal Procedure, and neither section prohibits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76.004, Government Code,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76.0051, Government Code;</w:t>
      </w:r>
    </w:p>
    <w:p w:rsidR="003F3435" w:rsidRDefault="0032493E">
      <w:pPr>
        <w:spacing w:line="480" w:lineRule="auto"/>
        <w:ind w:firstLine="1440"/>
        <w:jc w:val="both"/>
      </w:pPr>
      <w:r>
        <w:t xml:space="preserve">(4)</w:t>
      </w:r>
      <w:r xml:space="preserve">
        <w:t> </w:t>
      </w:r>
      <w:r xml:space="preserve">
        <w:t> </w:t>
      </w:r>
      <w:r>
        <w:t xml:space="preserve">an active </w:t>
      </w:r>
      <w:r>
        <w:rPr>
          <w:u w:val="single"/>
        </w:rPr>
        <w:t xml:space="preserve">or retired</w:t>
      </w:r>
      <w:r>
        <w:t xml:space="preserve"> judicial officer as defined by Section 411.201, Government Code, who is licensed to carry a handgun under Subchapter H, Chapter 411,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1701.357,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H, Chapter 411,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H, Chapter 411,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411.201,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142.006, Human Resources Code;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t xml:space="preserve">carrying a handgun under the authority of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retired after serving as a judge or justice described by Section 411.201(a)(1),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licensed to carry a handgun under Subchapter H, Chapter 411,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when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