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88R6187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2297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compensation and leave for certain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w:t>
      </w:r>
      <w:r>
        <w:rPr>
          <w:u w:val="single"/>
        </w:rPr>
        <w:t xml:space="preserve">the Texas Commission on Law Enforcement,</w:t>
      </w:r>
      <w:r>
        <w:t xml:space="preserve"> or the insurance fraud unit of the Texas Department of Insurance;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Commission on Law Enforcement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1701.160, Occupations Code, is amended to read as follows:</w:t>
      </w:r>
    </w:p>
    <w:p w:rsidR="003F3435" w:rsidRDefault="0032493E">
      <w:pPr>
        <w:spacing w:line="480" w:lineRule="auto"/>
        <w:ind w:firstLine="720"/>
        <w:jc w:val="both"/>
      </w:pPr>
      <w:r>
        <w:t xml:space="preserve">Sec.</w:t>
      </w:r>
      <w:r xml:space="preserve">
        <w:t> </w:t>
      </w:r>
      <w:r>
        <w:t xml:space="preserve">1701.160.</w:t>
      </w:r>
      <w:r xml:space="preserve">
        <w:t> </w:t>
      </w:r>
      <w:r xml:space="preserve">
        <w:t> </w:t>
      </w:r>
      <w:r>
        <w:t xml:space="preserve">AUTHORITY TO COMMISSION INVESTIGATORS AS PEACE OFFICERS. </w:t>
      </w:r>
      <w:r>
        <w:rPr>
          <w:u w:val="single"/>
        </w:rPr>
        <w:t xml:space="preserve">(a)</w:t>
      </w:r>
      <w:r>
        <w:t xml:space="preserve"> The commission may commission certified peace officers as investigators employed by the commission for the limited purpose of assisting the commission in administering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a peace officer commissioned under Subsection (a)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classification officer in the office of the state auditor shall classify the position of commissioned peace officer employed by the Texas Commission on Law Enforcement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