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88R9474 TSS-F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Holland</w:t>
      </w:r>
      <w:r xml:space="preserve">
        <w:tab wTab="150" tlc="none" cTlc="0"/>
      </w:r>
      <w:r>
        <w:t xml:space="preserve">H.B.</w:t>
      </w:r>
      <w:r xml:space="preserve">
        <w:t> </w:t>
      </w:r>
      <w:r>
        <w:t xml:space="preserve">No.</w:t>
      </w:r>
      <w:r xml:space="preserve">
        <w:t> </w:t>
      </w:r>
      <w:r>
        <w:t xml:space="preserve">2299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increasing the criminal penalty for election fraud.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276.013(b), Election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w:t>
      </w:r>
      <w:r>
        <w:rPr>
          <w:u w:val="single"/>
        </w:rPr>
        <w:t xml:space="preserve">state jail felony</w:t>
      </w:r>
      <w:r>
        <w:t xml:space="preserve"> </w:t>
      </w:r>
      <w:r>
        <w:t xml:space="preserve">[</w:t>
      </w:r>
      <w:r>
        <w:rPr>
          <w:strike/>
        </w:rPr>
        <w:t xml:space="preserve">Class A misdemeanor, unless: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person committed the offense while acting in the person's capacity as an elected official, in which case the offense is a state jail felony;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person is convicted of an attempt, in which case the offense is a Class B misdemeanor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