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88R3447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report on recidivism rates.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322, Government Code, is amended by adding Section 322.0195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322.0195.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RECIDIVISM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shall prepare a biennial report on recidivism that includes rearrest, reconviction, and reincarceration rates.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rates and rates for each county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individuals who have served any part of a sentence in a county jail;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individuals who are rearrested, reconvicted, or reincarcerated in other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preparing the report, the board shall collaborate with the Department of Public Safety.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Public Safety shall provide any information requested by the board for the purpose of preparing the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may be included in any other report made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even-numbered year, the board shall submit the report to the governor, lieutenant governor,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