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2306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criminal offense of voyeurism.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21.17(a),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with the intent to arouse or gratify the sexual desire of the actor, observes</w:t>
      </w:r>
      <w:r>
        <w:rPr>
          <w:u w:val="single"/>
        </w:rPr>
        <w:t xml:space="preserve">, including remotely through the use of electronic means,</w:t>
      </w:r>
      <w:r>
        <w:t xml:space="preserve"> another person without the other person's consent while the other person is in a dwelling or structure in which the other person has a reasonable expectation of privacy.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2306 was passed by the House on April 20, 2023, by the following vote:</w:t>
      </w:r>
      <w:r xml:space="preserve">
        <w:t> </w:t>
      </w:r>
      <w:r xml:space="preserve">
        <w:t> </w:t>
      </w:r>
      <w:r>
        <w:t xml:space="preserve">Yeas 141, Nays 6,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2306 was passed by the Senate on May 15,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