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88R7309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2307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retention by a managed care organization of certain money recovered as a result of a fraud or abuse investigation under Medicaid or the child health plan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531.1131(c-1), Government Code, is amended to read as follows:</w:t>
      </w:r>
    </w:p>
    <w:p w:rsidR="003F3435" w:rsidRDefault="0032493E">
      <w:pPr>
        <w:spacing w:line="480" w:lineRule="auto"/>
        <w:ind w:firstLine="720"/>
        <w:jc w:val="both"/>
      </w:pPr>
      <w:r>
        <w:t xml:space="preserve">(c-1)</w:t>
      </w:r>
      <w:r xml:space="preserve">
        <w:t> </w:t>
      </w:r>
      <w:r xml:space="preserve">
        <w:t> </w:t>
      </w:r>
      <w:r>
        <w:t xml:space="preserve">If the commission's office of inspector general notifies a managed care organization under Subsection (b), proceeds with recovery efforts, and recovers all or part of the payments the organization identified as required by Subsection (a)(1), the organization is entitled to one-half of the amount recovered for each payment the organization identified [</w:t>
      </w:r>
      <w:r>
        <w:rPr>
          <w:strike/>
        </w:rPr>
        <w:t xml:space="preserve">after any applicable federal share is deducted. </w:t>
      </w:r>
      <w:r>
        <w:rPr>
          <w:strike/>
        </w:rPr>
        <w:t xml:space="preserve"> </w:t>
      </w:r>
      <w:r>
        <w:rPr>
          <w:strike/>
        </w:rPr>
        <w:t xml:space="preserve">The organization may not receive more than one-half of the total amount of money recovered after any applicable federal share is deducted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531.1131(c-1), Government Code, as amended by this Act, applies only to an amount of money recovered on or after the effective date of this Act. </w:t>
      </w:r>
      <w:r>
        <w:t xml:space="preserve"> </w:t>
      </w:r>
      <w:r>
        <w:t xml:space="preserve">An amount of money recovered before the effective date of this Act is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