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2314</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filing death benefits claims under the workers' compensation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408.182(d-2), Labor Code, is amended to read as follows:</w:t>
      </w:r>
    </w:p>
    <w:p w:rsidR="003F3435" w:rsidRDefault="0032493E">
      <w:pPr>
        <w:spacing w:line="480" w:lineRule="auto"/>
        <w:ind w:firstLine="720"/>
        <w:jc w:val="both"/>
      </w:pPr>
      <w:r>
        <w:t xml:space="preserve">(d-2)</w:t>
      </w:r>
      <w:r xml:space="preserve">
        <w:t> </w:t>
      </w:r>
      <w:r xml:space="preserve">
        <w:t> </w:t>
      </w:r>
      <w:r>
        <w:t xml:space="preserve">Except as otherwise provided by this subsection, to be eligible to receive death benefits under Subsection (d-1), an eligible parent must file with the division </w:t>
      </w:r>
      <w:r>
        <w:rPr>
          <w:u w:val="single"/>
        </w:rPr>
        <w:t xml:space="preserve">or insurance carrier</w:t>
      </w:r>
      <w:r>
        <w:t xml:space="preserve"> a claim for those benefits not later than the first anniversary of the date of the injured employee's death from the compensable injury.  The claim must designate all eligible parents and necessary information for payment to the eligible parents.  The insurance carrier is not liable for payment to any eligible parent not designated on the claim.  Failure to file a claim in the time required bars the claim unless good cause exists for the failure to file a claim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409.007, Labor Code, is amended by amending Subsection (a) and adding Subsection (d) to read as follows:</w:t>
      </w:r>
    </w:p>
    <w:p w:rsidR="003F3435" w:rsidRDefault="0032493E">
      <w:pPr>
        <w:spacing w:line="480" w:lineRule="auto"/>
        <w:ind w:firstLine="720"/>
        <w:jc w:val="both"/>
      </w:pPr>
      <w:r>
        <w:t xml:space="preserve">(a)</w:t>
      </w:r>
      <w:r xml:space="preserve">
        <w:t> </w:t>
      </w:r>
      <w:r xml:space="preserve">
        <w:t> </w:t>
      </w:r>
      <w:r>
        <w:t xml:space="preserve">A person must file a claim for death benefits with the division </w:t>
      </w:r>
      <w:r>
        <w:rPr>
          <w:u w:val="single"/>
        </w:rPr>
        <w:t xml:space="preserve">or insurance carrier</w:t>
      </w:r>
      <w:r>
        <w:t xml:space="preserve"> not later than the first anniversary of the date of the employee's death.</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person files a claim for death benefits with an insurance carrier, at the time the carrier receives the claim the carrier shall, in the form and manner prescribed by the division: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create and maintain a record documenting receipt of the claim;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written notice to the division that the person filed the claim.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commissioner of worker's compensation shall adopt rules as necessary to implement the changes in law made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to a claim for death benefits filed on or after the effective date of this Act.  A claim for death benefits filed before that date is covered by the law in effect on the date the claim was filed,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2314 was passed by the House on April 13, 2023, by the following vote:</w:t>
      </w:r>
      <w:r xml:space="preserve">
        <w:t> </w:t>
      </w:r>
      <w:r xml:space="preserve">
        <w:t> </w:t>
      </w:r>
      <w:r>
        <w:t xml:space="preserve">Yeas 147, Nays 0,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2314 was passed by the Senate on May 19,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