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Stucky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2321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certain municipalities to use certain tax revenue for hotel and convention center projects and other qualified projects.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351.152, Tax Code, is amended by adding the following subsection: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that contains an intersection of Interstates 35E and 35W and at least two public universities.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351.157, Tax Code, is amended by adding the following subsections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applies only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municipality described by Section 351.152(3);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municipality described by Section 351.152(6);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municipality described by Section 351.152(7);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municipality described by Section 351.152(10);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(4-a)</w:t>
      </w:r>
      <w:r xml:space="preserve">
        <w:t> </w:t>
      </w:r>
      <w:r xml:space="preserve">
        <w:t> </w:t>
      </w:r>
      <w:r>
        <w:t xml:space="preserve">a municipality described by Section 351.152(14);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municipality described by Section 351.152(16);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municipality described by Section 351.152(22);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municipality described by Section 351.152(25);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 municipality described by Section 351.152(34);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a municipality described by Section 351.152(35);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a municipality described by Section 351.152(36);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a municipality described by Section 351.152(38); </w:t>
      </w:r>
      <w:r>
        <w:rPr>
          <w:strike/>
        </w:rPr>
        <w:t xml:space="preserve">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(12)</w:t>
      </w:r>
      <w:r xml:space="preserve">
        <w:t> </w:t>
      </w:r>
      <w:r xml:space="preserve">
        <w:t> </w:t>
      </w:r>
      <w:r>
        <w:t xml:space="preserve">a municipality described by Section 351.152(43)</w:t>
      </w:r>
      <w:r>
        <w:rPr>
          <w:strike/>
        </w:rPr>
        <w:t xml:space="preserve">.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described by Section 351.152(46)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municipality is entitled to receive revenue under Subsection (d) derived from the following types of establishments that meet the requirements of Subsections (a)(1), (2), (3), and (4):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for a municipality described by Subsection (b)(1):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restaurants, bars, and retail establishments;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swimming pools and swimming facilities owned or operated by the related qualified hotel;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for a municipality described by Subsection (b)(2), swimming pools and swimming facilities, restaurants, bars, and retail establishments;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for a municipality described by Subsection (b)(3), restaurants, bars, and retail establishments;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for a municipality described by Subsection (b)(4):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restaurants, bars, and retail establishments;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swimming pools and swimming facilities owned or operated by the related qualified hotel;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(4-a)</w:t>
      </w:r>
      <w:r xml:space="preserve">
        <w:t> </w:t>
      </w:r>
      <w:r xml:space="preserve">
        <w:t> </w:t>
      </w:r>
      <w:r>
        <w:t xml:space="preserve">for a municipality described by Subsection (b)(4-a):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restaurants, bars, and retail establishments;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swimming pools and swimming facilities owned or operated by the related qualified hotel;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for a municipality described by Subsection (b)(5), restaurants, bars, and retail establishments;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for a municipality described by Subsection (b)(6), restaurants, bars, and retail establishments;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for a municipality described by Subsection (b)(7), restaurants, bars, and retail establishments;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for a municipality described by Subsection (b)(8), restaurants, bars, and retail establishments;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for a municipality described by Subsection (b)(9), restaurants, bars, and retail establishments;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for a municipality described by Subsection (b)(10):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restaurants, bars, and retail establishments;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swimming pools and swimming facilities owned or operated by the related qualified hotel;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for a municipality described by Subsection (b)(11):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restaurants, bars, and retail establishments;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swimming pools and swimming facilities owned or operated by the related qualified hotel; </w:t>
      </w:r>
      <w:r>
        <w:rPr>
          <w:strike/>
        </w:rPr>
        <w:t xml:space="preserve">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(12)</w:t>
      </w:r>
      <w:r xml:space="preserve">
        <w:t> </w:t>
      </w:r>
      <w:r xml:space="preserve">
        <w:t> </w:t>
      </w:r>
      <w:r>
        <w:t xml:space="preserve">for a municipality described by Subsection (b)(12):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restaurants, bars, and retail establishments;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swimming pools and swimming facilities owned or operated by the related qualified hotel</w:t>
      </w:r>
      <w:r>
        <w:rPr>
          <w:u w:val="single"/>
        </w:rPr>
        <w:t xml:space="preserve">; and</w:t>
      </w:r>
      <w:r>
        <w:t xml:space="preserve"> </w:t>
      </w:r>
      <w:r>
        <w:rPr>
          <w:strike/>
        </w:rP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 municipality described by Subsection (b)(13), restaurants, bars and retail establishments.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2321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