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88R24535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2323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2323:</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2323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general-issue license plates commemorating  the 100th anniversary of the writing of the state song.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504.005, Transportation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license plates issued by the department during the five-year period beginning January 1, 2024, other than specialty license plates, must be designed to commemorate the 100th anniversary of the writing of the state song, "Texas, Our Texas," and must include the words "Texas, Our Texas" and the dates "1924-2024."</w:t>
      </w:r>
      <w:r>
        <w:rPr>
          <w:u w:val="single"/>
        </w:rPr>
        <w:t xml:space="preserve"> </w:t>
      </w:r>
      <w:r>
        <w:rPr>
          <w:u w:val="single"/>
        </w:rPr>
        <w:t xml:space="preserve"> </w:t>
      </w:r>
      <w:r>
        <w:rPr>
          <w:u w:val="single"/>
        </w:rPr>
        <w:t xml:space="preserve">The department shall deplete the current inventory of general-issue license plates before issuing license plates described by this subsection. </w:t>
      </w:r>
      <w:r>
        <w:rPr>
          <w:u w:val="single"/>
        </w:rPr>
        <w:t xml:space="preserve"> </w:t>
      </w:r>
      <w:r>
        <w:rPr>
          <w:u w:val="single"/>
        </w:rPr>
        <w:t xml:space="preserve">This subsection expires January 1, 2030.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