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88R19751 MCF-D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Wu, Canales, J. Johnson of Harris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2328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2328: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Herrero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2328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medical release of certain terminally ill defendants and inmates.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42A.560, Code of Criminal Procedure,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article, "terminally ill" means having an incurable illness or condition that is expected to result in death within one year regardless of life-sustaining treatment.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Article 42A.561, Code of Criminal Procedure,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article, "terminally ill" means having an incurable illness or condition that is expected to result in death within one year regardless of life-sustaining treatment.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508.146, Government Code, is amended by adding Subsection (g)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section, "terminally ill" means having an incurable illness or condition that is expected to result in death within one year regardless of life-sustaining treatment.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2328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