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88R2814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noncharitable trusts without an ascertainable beneficiary.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NONCHARITABLE TRUST WITHOUT ASCERTAINABLE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112.121.</w:t>
      </w:r>
      <w:r>
        <w:rPr>
          <w:u w:val="single"/>
        </w:rPr>
        <w:t xml:space="preserve"> </w:t>
      </w:r>
      <w:r>
        <w:rPr>
          <w:u w:val="single"/>
        </w:rPr>
        <w:t xml:space="preserve"> </w:t>
      </w:r>
      <w:r>
        <w:rPr>
          <w:u w:val="single"/>
        </w:rPr>
        <w:t xml:space="preserve">VALIDITY OF TRUST; APPLICABILITY. </w:t>
      </w:r>
      <w:r>
        <w:rPr>
          <w:u w:val="single"/>
        </w:rPr>
        <w:t xml:space="preserve"> </w:t>
      </w:r>
      <w:r>
        <w:rPr>
          <w:u w:val="single"/>
        </w:rPr>
        <w:t xml:space="preserve">(a)  A trust may be created for a noncharitable purpose without a definite or definitely ascertainable beneficiary.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trust created under Section 112.037.</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112.122.</w:t>
      </w:r>
      <w:r>
        <w:rPr>
          <w:u w:val="single"/>
        </w:rPr>
        <w:t xml:space="preserve"> </w:t>
      </w:r>
      <w:r>
        <w:rPr>
          <w:u w:val="single"/>
        </w:rPr>
        <w:t xml:space="preserve"> </w:t>
      </w:r>
      <w:r>
        <w:rPr>
          <w:u w:val="single"/>
        </w:rPr>
        <w:t xml:space="preserve">ENFORCEMENT OF TRUST.  (a) </w:t>
      </w:r>
      <w:r>
        <w:rPr>
          <w:u w:val="single"/>
        </w:rPr>
        <w:t xml:space="preserve"> </w:t>
      </w:r>
      <w:r>
        <w:rPr>
          <w:u w:val="single"/>
        </w:rPr>
        <w:t xml:space="preserve">A trust created under this subchapter must be enforced by one or more persons appointed in the terms of the trust to serve as a trust enforcer.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trust enforcer shall enforce the purpose and terms of the trust.  The trust enforcer is not a beneficiary of the trust, but has the rights of a beneficiary provided under this title and the common law of this state, or as otherwise provided by the terms of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trust enforcer shall exercise any authority granted under the terms of the trust or the provisions of this section as a fiduciary owing a duty to the trust and is entitled to reasonable compensation for serving as trust enforcer.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trust enforcer may consent to, waive, object to, or petition an appropriate court concerning any matter regarding the purpose or administration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Section 112.124 or 112.125 or the terms of the trust, if more than one person is acting as a trust enforcer, any action in that capacity must be decided by the majority vote of the persons acting as trust enforcers.  If there are an even number of trust enforcers and a majority vote cannot be established, the decision of the trustee controls.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terms of the trust may provide for the succession of a trust enforcer or a process of appointing any successor trust enforcer.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no person is serving as a trust enforcer for a trust created under this subchapter, a court properly exercising jurisdiction shall appoint one or more persons to serve as the trust enforcer.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112.123.</w:t>
      </w:r>
      <w:r>
        <w:rPr>
          <w:u w:val="single"/>
        </w:rPr>
        <w:t xml:space="preserve"> </w:t>
      </w:r>
      <w:r>
        <w:rPr>
          <w:u w:val="single"/>
        </w:rPr>
        <w:t xml:space="preserve"> </w:t>
      </w:r>
      <w:r>
        <w:rPr>
          <w:u w:val="single"/>
        </w:rPr>
        <w:t xml:space="preserve">APPLICATION OR DISTRIBUTION OF TRUST PROPERTY.  (a)  Property of a trust created under this subchapter may be applied only to the intended purpose of the trust, except to the extent that a court finds that the value of the trust property exceeds the amount required for the intended purpose of the trust.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the terms of the trust, property found by a court not to be required for the trust's intended purpose shall be distributed: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the terms of the trust;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trust does not provide for the distribution of such property, to the settlor if then living or to the settlor's successors in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112.124.</w:t>
      </w:r>
      <w:r>
        <w:rPr>
          <w:u w:val="single"/>
        </w:rPr>
        <w:t xml:space="preserve"> </w:t>
      </w:r>
      <w:r>
        <w:rPr>
          <w:u w:val="single"/>
        </w:rPr>
        <w:t xml:space="preserve"> </w:t>
      </w:r>
      <w:r>
        <w:rPr>
          <w:u w:val="single"/>
        </w:rPr>
        <w:t xml:space="preserve">COMMERCIAL LEGACY TRUST.  (a)  In this section, "commercial legacy trust" means a trust subject to this section. A commercial legacy trust is not a business trust for purposes of Section 111.003.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this section, a trust may be created under this subchapter for a commercial purpose, including seeking economic and noneconomic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legacy trust that holds an ownership interest in a corporation, partnership, limited partnership, cooperative, limited liability company, limited liability partnership, or other business entity created to conduct business under the laws of this state must hold a controlling interest in that business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legacy trust may have a business committee governed by Section 112.125.  Each member of the business committee shall exercise authority as a fiduciary of the commercial legacy trust.  A trustee of a commercial legacy trust must act in accordance with a direction from the business committee unless the action is manifestly contrary to the terms of the trust or the trustee knows that the action would constitute a breach of fiduciary duty that the business committee, the trust enforcer, or the trustee owes to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trustee of a commercial legacy trust is liable only for wilful misconduct and is not liable for reliance on documents provided by the business committee or the trust enforcer.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the terms of a commercial legacy trust provide otherwise, the trust enforcer and the business committee, acting together, may modify or terminate a commercial legacy trust by unanimous agreement of all members of the business committee and all trust enforcers.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termination of a commercial legacy trust, the trustee shall distribute all remaining trust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the terms of the trust provide;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terms of the trust do not provide for complete distribution of the property, as a court determines to be consistent with the purposes for which the trust was created.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serving as trustee of a commercial legacy trust may not serve as a trust enforcer or a member of a business committee of that trust.  A person serving as a trust enforcer of a commercial legacy trust may not serve as a member of the business committee of that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112.125.</w:t>
      </w:r>
      <w:r>
        <w:rPr>
          <w:u w:val="single"/>
        </w:rPr>
        <w:t xml:space="preserve"> </w:t>
      </w:r>
      <w:r>
        <w:rPr>
          <w:u w:val="single"/>
        </w:rPr>
        <w:t xml:space="preserve"> </w:t>
      </w:r>
      <w:r>
        <w:rPr>
          <w:u w:val="single"/>
        </w:rPr>
        <w:t xml:space="preserve">BUSINESS COMMITTEE FOR COMMERCIAL LEGACY TRUST; REQUIRED REPORT.  (a)  In this section, "business committee" means the business committee established under Section 112.124(d) for a commercial legacy trust subject to Section 112.124.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commercial legacy trust subject to Section 112.124 may appoint the initial members of the business committee and may provide for the succession of a business committee member or a process of appointing a successor business committee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business committee must have a minimum of three members.  If a vacancy on a business committee results in fewer than three members on the committee, the vacancy must be filled in the following order of priority: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 person designated in the terms of the commercial legacy trust or selected through a process provided by the terms of the trust;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person appointed by the unanimous agreement of the trust enforcers;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person appointed by a court properly exercising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(e)(3) or (e)(4), Section 112.124(f), or the terms of the commercial legacy trust, any action taken by a business committee must be decided by the majority vote of business committee members.  If there are an even number of business committee members and a majority vote cannot be established, the decision of the trustee controls.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terms of the commercial legacy trust provide otherwise, in carrying out the purposes of the trust and after reasonable written notice has been provided to the trust enforcer, a business 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a trustee with or without cause;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one or more successor trustees or cotrustees;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 a trust enforcer with or without cause by the unanimous vote of all members of the business committee and all trustees;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 member of the business committee by the unanimous vote of all other members of the business committee;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direct distributions from the trust;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the consent of the trust enforcer and subject to the trust enforcer's revocation of consent at any time on reasonable notice, exercise any right or power belonging to the trustee, including the right to vote stock owned by the trust.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the commercial legacy trust agreement provides otherwise, a member of a business committee may resign: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earlier than the 30th day after providing written notice to all trustees, all trust enforcers, and all members of the business committee;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with the approval of a court properly exercising jurisdiction.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of a business committee may be removed by the unanimous vote of all trustees and trust enforcers.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the terms of the commercial legacy trust provide otherwise, a business committee shall provide a report to the trustee and the trust enforcer at least annually.  The report must show receipts, disbursements, and a detailed list of the assets and liabilities of the commercial legacy trust.  A business committee shall keep the trustee and the trust enforcer reasonably informed about the administration of the commercial legacy trust, company matters, and any other material facts necessary for the trustee to comply with the trustee's duties and for the trust enforcer to protect the purpose of the trust.  A report properly prepared under this subsection and provided to the trust enforcer meets the trustee's duty to provide an accounting under Section 113.151.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business committee fails to provide a report in compliance with Subsection (h), the trustee or trust enforcer may demand in writing that the business committee deliver to the trust enforcer and trustee a written statement of accounts covering all transactions since the last report prepared under Subsection (h) was provided.  If the business committee does not deliver the statement on or before the 90th day after the date the business committee receives the written demand or after a longer period ordered by a court, the trustee or trust enforcer may file suit to compel the business committee to deliver the statement to the trust enforcer and trustee.  If a trustee or trust enforcer is successful in the suit to compel a statement under this subsection, the court may in its discretion award all or part of the court costs and all of the prevailing party's reasonable and necessary attorney's fees and costs against the members of the business committee in their individual capacities.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112, Property Code, as added by this Act, applies only to a trust created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