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Allison</w:t>
      </w:r>
      <w:r>
        <w:t xml:space="preserve"> (Senate Sponsor</w:t>
      </w:r>
      <w:r xml:space="preserve">
        <w:t> </w:t>
      </w:r>
      <w:r>
        <w:t xml:space="preserve">-</w:t>
      </w:r>
      <w:r xml:space="preserve">
        <w:t> </w:t>
      </w:r>
      <w:r>
        <w:t xml:space="preserve">Flores)</w:t>
      </w:r>
      <w:r xml:space="preserve">
        <w:tab wTab="150" tlc="none" cTlc="0"/>
      </w:r>
      <w:r>
        <w:t xml:space="preserve">H.B.</w:t>
      </w:r>
      <w:r xml:space="preserve">
        <w:t> </w:t>
      </w:r>
      <w:r>
        <w:t xml:space="preserve">No.</w:t>
      </w:r>
      <w:r xml:space="preserve">
        <w:t> </w:t>
      </w:r>
      <w:r>
        <w:t xml:space="preserve">2333</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2023; May</w:t>
      </w:r>
      <w:r xml:space="preserve">
        <w:t> </w:t>
      </w:r>
      <w:r>
        <w:t xml:space="preserve">11,</w:t>
      </w:r>
      <w:r xml:space="preserve">
        <w:t> </w:t>
      </w:r>
      <w:r>
        <w:t xml:space="preserve">2023, read first time and referred to Committee on Business &amp; Commerce; May</w:t>
      </w:r>
      <w:r xml:space="preserve">
        <w:t> </w:t>
      </w:r>
      <w:r>
        <w:t xml:space="preserve">19,</w:t>
      </w:r>
      <w:r xml:space="preserve">
        <w:t> </w:t>
      </w:r>
      <w:r>
        <w:t xml:space="preserve">2023, reported favorably by the following vote:</w:t>
      </w:r>
      <w:r>
        <w:t xml:space="preserve"> </w:t>
      </w:r>
      <w:r>
        <w:t xml:space="preserve"> </w:t>
      </w:r>
      <w:r>
        <w:t xml:space="preserve">Yeas 10,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noncharitable trusts without an ascertainable beneficiary.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111.004(4), Property Code, is amended to read as follows:</w:t>
      </w:r>
    </w:p>
    <w:p w:rsidR="003F3435" w:rsidRDefault="0032493E">
      <w:pPr>
        <w:spacing w:line="480" w:lineRule="auto"/>
        <w:ind w:firstLine="1440"/>
        <w:jc w:val="both"/>
      </w:pPr>
      <w:r>
        <w:t xml:space="preserve">(4)</w:t>
      </w:r>
      <w:r xml:space="preserve">
        <w:t> </w:t>
      </w:r>
      <w:r xml:space="preserve">
        <w:t> </w:t>
      </w:r>
      <w:r>
        <w:t xml:space="preserve">"Express trust"</w:t>
      </w:r>
      <w:r>
        <w:t xml:space="preserve"> </w:t>
      </w:r>
      <w:r>
        <w:t xml:space="preserve">means a fiduciary relationship with respect to property which arises as a manifestation by the settlor of an intention to create the relationship and which subjects the person holding title to the property to equitable duties to deal with the property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for the benefit of another person</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particular purpose, in the case of a trust subject to Subchapter F</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112, Property Code, is amended by adding Subchapter F to read as follows:</w:t>
      </w:r>
    </w:p>
    <w:p w:rsidR="003F3435" w:rsidRDefault="0032493E">
      <w:pPr>
        <w:spacing w:line="480" w:lineRule="auto"/>
        <w:jc w:val="center"/>
      </w:pPr>
      <w:r>
        <w:rPr>
          <w:u w:val="single"/>
        </w:rPr>
        <w:t xml:space="preserve">SUBCHAPTER F.  NONCHARITABLE TRUST WITHOUT ASCERTAINABLE BENEFICIARY</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112.121.</w:t>
      </w:r>
      <w:r>
        <w:rPr>
          <w:u w:val="single"/>
        </w:rPr>
        <w:t xml:space="preserve"> </w:t>
      </w:r>
      <w:r>
        <w:rPr>
          <w:u w:val="single"/>
        </w:rPr>
        <w:t xml:space="preserve"> </w:t>
      </w:r>
      <w:r>
        <w:rPr>
          <w:u w:val="single"/>
        </w:rPr>
        <w:t xml:space="preserve">VALIDITY OF TRUST; APPLICABILITY. </w:t>
      </w:r>
      <w:r>
        <w:rPr>
          <w:u w:val="single"/>
        </w:rPr>
        <w:t xml:space="preserve"> </w:t>
      </w:r>
      <w:r>
        <w:rPr>
          <w:u w:val="single"/>
        </w:rPr>
        <w:t xml:space="preserve">(a)  A trust may be created for a noncharitable purpose without a definite or definitely ascertainable beneficiary. </w:t>
      </w:r>
      <w:r>
        <w:rPr>
          <w:u w:val="single"/>
        </w:rPr>
        <w:t xml:space="preserve"> </w:t>
      </w:r>
      <w:r>
        <w:rPr>
          <w:u w:val="single"/>
        </w:rPr>
        <w:t xml:space="preserve">A noncharitable purpose may include seeking economic or noneconomic benefits.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subchapter does not apply to a trust created under Section 112.037.</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112.122.</w:t>
      </w:r>
      <w:r>
        <w:rPr>
          <w:u w:val="single"/>
        </w:rPr>
        <w:t xml:space="preserve"> </w:t>
      </w:r>
      <w:r>
        <w:rPr>
          <w:u w:val="single"/>
        </w:rPr>
        <w:t xml:space="preserve"> </w:t>
      </w:r>
      <w:r>
        <w:rPr>
          <w:u w:val="single"/>
        </w:rPr>
        <w:t xml:space="preserve">ENFORCEMENT OF TRUST.  (a) </w:t>
      </w:r>
      <w:r>
        <w:rPr>
          <w:u w:val="single"/>
        </w:rPr>
        <w:t xml:space="preserve"> </w:t>
      </w:r>
      <w:r>
        <w:rPr>
          <w:u w:val="single"/>
        </w:rPr>
        <w:t xml:space="preserve">A trust created under this subchapter must be enforced by one or more persons appointed in the terms of the trust to serve as a trust enforcer.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trust enforcer shall enforce the purpose and terms of the trust.  The trust enforcer is not a beneficiary of the trust, but has the rights of a beneficiary provided under this title and the common law of this state, or as otherwise provided by the terms of the trust.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trust enforcer shall exercise any authority granted under the terms of the trust or the provisions of this section as a fiduciary owing a duty to the trust and is entitled to reasonable compensation for serving as trust enforcer.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trust enforcer may consent to, waive, object to, or petition an appropriate court concerning any matter regarding the purpose or administration of the trust.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otherwise provided by the terms of the trust, if more than one person is acting as a trust enforcer, any action in that capacity must be decided by the majority vote of the persons acting as trust enforcers.  If there are an even number of trust enforcers and a majority vote cannot be established, the decision of the trustee controls.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terms of the trust may provide for the succession of a trust enforcer or a process of appointing any successor trust enforcer.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no person is serving as a trust enforcer for a trust created under this subchapter, a court properly exercising jurisdiction shall appoint one or more persons to serve as the trust enforcer.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112.123.</w:t>
      </w:r>
      <w:r>
        <w:rPr>
          <w:u w:val="single"/>
        </w:rPr>
        <w:t xml:space="preserve"> </w:t>
      </w:r>
      <w:r>
        <w:rPr>
          <w:u w:val="single"/>
        </w:rPr>
        <w:t xml:space="preserve"> </w:t>
      </w:r>
      <w:r>
        <w:rPr>
          <w:u w:val="single"/>
        </w:rPr>
        <w:t xml:space="preserve">APPLICATION OR DISTRIBUTION OF TRUST PROPERTY.  (a)  Property of a trust created under this subchapter may be applied only to the intended purpose of the trust, except to the extent that a court finds that the value of the trust property exceeds the amount required for the intended purpose of the trust.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the terms of the trust, property found by a court not to be required for the trust's intended purpose shall be distributed: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 provided by the terms of the trust;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trust does not provide for the distribution of such property, to the settlor if then living or to the settlor's successors in interest.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F, Chapter 112, Property Code, as added by this Act, applies only to a trust created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