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governing a regional mobility authority in relation to certain federal public transportation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370, Transportation Code, is amended by adding Section 370.035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370.035.</w:t>
      </w:r>
      <w:r>
        <w:rPr>
          <w:u w:val="single"/>
        </w:rPr>
        <w:t xml:space="preserve"> </w:t>
      </w:r>
      <w:r>
        <w:rPr>
          <w:u w:val="single"/>
        </w:rPr>
        <w:t xml:space="preserve"> </w:t>
      </w:r>
      <w:r>
        <w:rPr>
          <w:u w:val="single"/>
        </w:rPr>
        <w:t xml:space="preserve">PROCEDURE FOR RECEIVING CERTAIN FEDERAL PUBLIC TRANSPORTATION FUNDING.  (a)  In this section, "designated recipient" and "urbanized area" have the meanings assigned by 49 U.S.C. Section 5302, as that section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authority may not apply for funding under 49 U.S.C. Section 5307 without the approval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give approval to an authority to apply for funding under 49 U.S.C. Section 5307 unless the authority becomes a designated recipient.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becoming a designated recipient of funding under 49 U.S.C. Section 5307, an authority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to the department the appropriate expertise, financial resources, and gaps in regional transit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department with documentation of concurrence in the selection of the designated recipient, or any successor documentation required by federal law, by the providers of publicly owned public transportation service in the applicable urbanized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