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88R20072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Thompson of Harris, Longoria</w:t>
      </w:r>
      <w:r xml:space="preserve">
        <w:tab wTab="150" tlc="none" cTlc="0"/>
      </w:r>
      <w:r>
        <w:t xml:space="preserve">H.B.</w:t>
      </w:r>
      <w:r xml:space="preserve">
        <w:t> </w:t>
      </w:r>
      <w:r>
        <w:t xml:space="preserve">No.</w:t>
      </w:r>
      <w:r xml:space="preserve">
        <w:t> </w:t>
      </w:r>
      <w:r>
        <w:t xml:space="preserve">2345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2345:</w:t>
      </w: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C.S.H.B.</w:t>
      </w:r>
      <w:r xml:space="preserve">
        <w:t> </w:t>
      </w:r>
      <w:r>
        <w:t xml:space="preserve">No.</w:t>
      </w:r>
      <w:r xml:space="preserve">
        <w:t> </w:t>
      </w:r>
      <w:r>
        <w:t xml:space="preserve">2345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definitions for purposes of gambling criminal offenses and the prosecution of the criminal offenses of gambling, gambling promotion, and keeping a gambling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47.01, Penal Code, is amended by adding Subdivision (2-a) and amending Subdivision (8)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"Economic benefit" means direct winnings from a game of skill or luck.  The term does not include a benefit received before a game commences or after payment of the direct winnings from the game.</w:t>
      </w:r>
    </w:p>
    <w:p w:rsidR="003F3435" w:rsidRDefault="0032493E">
      <w:pPr>
        <w:spacing w:line="480" w:lineRule="auto"/>
        <w:ind w:firstLine="1440"/>
        <w:jc w:val="both"/>
      </w:pPr>
      <w:r>
        <w:t xml:space="preserve">(8)</w:t>
      </w:r>
      <w:r xml:space="preserve">
        <w:t> </w:t>
      </w:r>
      <w:r xml:space="preserve">
        <w:t> </w:t>
      </w:r>
      <w:r>
        <w:t xml:space="preserve">"Private place" means a place to which the public does not have access </w:t>
      </w:r>
      <w:r>
        <w:rPr>
          <w:u w:val="single"/>
        </w:rPr>
        <w:t xml:space="preserve">without a valid membership, special invitation, or prior grant of permission</w:t>
      </w:r>
      <w:r>
        <w:t xml:space="preserve">[</w:t>
      </w:r>
      <w:r>
        <w:rPr>
          <w:strike/>
        </w:rPr>
        <w:t xml:space="preserve">,</w:t>
      </w:r>
      <w:r>
        <w:t xml:space="preserve">]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47.02(b),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w:t>
      </w:r>
      <w:r>
        <w:rPr>
          <w:u w:val="single"/>
        </w:rPr>
        <w:t xml:space="preserve">an exception to the application of</w:t>
      </w:r>
      <w:r>
        <w:t xml:space="preserve"> [</w:t>
      </w:r>
      <w:r>
        <w:rPr>
          <w:strike/>
        </w:rPr>
        <w:t xml:space="preserve">a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actor engaged in gambling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47.03, Penal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exception to the application of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gambling place was located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gambling place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at the gambling place were the same for all participants.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It is an exception to the application of Subsection (a)(3)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thing of value was bet or offered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thing of value bet or offered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the thing of value bet or offered were the same for all participants.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47.04(b),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w:t>
      </w:r>
      <w:r>
        <w:rPr>
          <w:u w:val="single"/>
        </w:rPr>
        <w:t xml:space="preserve">exception to the application of</w:t>
      </w:r>
      <w:r>
        <w:t xml:space="preserve"> [</w:t>
      </w:r>
      <w:r>
        <w:rPr>
          <w:strike/>
        </w:rPr>
        <w:t xml:space="preserve">affirmative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gambling occurred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