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2353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use of hotel occupancy tax revenue by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351.101, Tax Code, is amended by adding Subsection (t) to read as follows:</w:t>
      </w:r>
    </w:p>
    <w:p w:rsidR="003F3435" w:rsidRDefault="0032493E">
      <w:pPr>
        <w:spacing w:line="480" w:lineRule="auto"/>
        <w:ind w:firstLine="720"/>
        <w:jc w:val="both"/>
      </w:pPr>
      <w:r>
        <w:rPr>
          <w:u w:val="single"/>
        </w:rPr>
        <w:t xml:space="preserve">(t)</w:t>
      </w:r>
      <w:r>
        <w:rPr>
          <w:u w:val="single"/>
        </w:rPr>
        <w:t xml:space="preserve"> </w:t>
      </w:r>
      <w:r>
        <w:rPr>
          <w:u w:val="single"/>
        </w:rPr>
        <w:t xml:space="preserve"> </w:t>
      </w:r>
      <w:r>
        <w:rPr>
          <w:u w:val="single"/>
        </w:rPr>
        <w:t xml:space="preserve">In addition to other authorized uses, a municipality that is bisected by the Guadalupe River and is the county seat of a county with a population of 170,000 or more may use revenue from the municipal hotel occupancy tax for the promotion of tourism by the enhancement and upgrading of an existing sports facility or field as specified by Subsection (a)(7), provided that the requirements of Subsections (a)(7)(A) and (C) and Section 351.1076 are met.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2353 was passed by the House on April 28, 2023, by the following vote:</w:t>
      </w:r>
      <w:r xml:space="preserve">
        <w:t> </w:t>
      </w:r>
      <w:r xml:space="preserve">
        <w:t> </w:t>
      </w:r>
      <w:r>
        <w:t xml:space="preserve">Yeas 111, Nays 33,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2353 was passed by the Senate on May 15, 2023, by the following vote:</w:t>
      </w:r>
      <w:r xml:space="preserve">
        <w:t> </w:t>
      </w:r>
      <w:r xml:space="preserve">
        <w:t> </w:t>
      </w:r>
      <w:r>
        <w:t xml:space="preserve">Yeas 25, Nays 6.</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