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2366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LaMantia)</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premium and maintenance taxes to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221.001(b),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885;</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(4)</w:t>
      </w:r>
      <w:r xml:space="preserve">
        <w:t> </w:t>
      </w:r>
      <w:r xml:space="preserve">
        <w:t> </w:t>
      </w:r>
      <w:r>
        <w:t xml:space="preserve">a mutual assessment association, company, or corporation regulated under Chapter 887;</w:t>
      </w:r>
    </w:p>
    <w:p w:rsidR="003F3435" w:rsidRDefault="0032493E">
      <w:pPr>
        <w:spacing w:line="480" w:lineRule="auto"/>
        <w:ind w:firstLine="1440"/>
        <w:jc w:val="both"/>
      </w:pPr>
      <w:r>
        <w:t xml:space="preserve">(5)</w:t>
      </w:r>
      <w:r xml:space="preserve">
        <w:t> </w:t>
      </w:r>
      <w:r xml:space="preserve">
        <w:t> </w:t>
      </w:r>
      <w:r>
        <w:t xml:space="preserve">a purely cooperative or mutual fire insurance company carried on by its members solely for the protection of their own property and not for profit, except as provided by Section 221.002(b)(13);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farm mutual insurance company operating under Chapter 911, unless the company is acting as a fronting insurer</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Windstorm Insurance Association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252.005, Insurance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911, unless the company is acting as a fronting insurer as defined by Section 221.001(c);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mutual insurance company engaged in business under Chapter 12, Title 78, Revised Statutes, before that chapter's repeal by Section 18, Chapter 40, Acts of the 41st Legislature, 1st Called Session, 1929, as amended by Section 1, Chapter 60, General Laws, Acts of the 41st Legislature, 2nd Called Session, 1929, that retains the rights and privileges under the repealed law to the extent provided by those sections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Windstorm Insurance Association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2023 calendar year. </w:t>
      </w:r>
      <w:r>
        <w:t xml:space="preserve"> </w:t>
      </w:r>
      <w:r>
        <w:t xml:space="preserve">That liability continues in effect as if this Act had not been enacted, and the former law is continued in effect for the collection of taxes due and for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