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88R3541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2368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certain skills development fund grant proposals.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303, Labor Code, is amended by adding Section 303.0032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303.0032.</w:t>
      </w:r>
      <w:r>
        <w:rPr>
          <w:u w:val="single"/>
        </w:rPr>
        <w:t xml:space="preserve"> </w:t>
      </w:r>
      <w:r>
        <w:rPr>
          <w:u w:val="single"/>
        </w:rPr>
        <w:t xml:space="preserve"> </w:t>
      </w:r>
      <w:r>
        <w:rPr>
          <w:u w:val="single"/>
        </w:rPr>
        <w:t xml:space="preserve">REQUIREMENTS FOR CERTAIN GRANT PROPOSALS.  (a)  In this section, "public junior college" and "public technical institute" have the meanings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requirements adopted by the commission with respect to a grant proposal by an employer or trade union and a public junior college, a public technical institute, or the Texas A&amp;M Engineering Extension Service for a skills development fund grant for a customized training project or other appropriate use of the fund must include a requirement that the employer or trade union and the college, institute, or service, as applicable, submit to the commission a written agreement outlining each entity's respective roles and duties if the grant is awarded,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duty of the college, institute, or service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grant administration requirements in accordance with commission rule;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 and deliver courses customized to meet the employer's or trade union's specific business needs;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manage and maintain the confidentiality of the employer's or trade union's training information in compliance with federal and state law, including by not sharing the information with any party other than the commission without the employer's or trade union's advanced written approval;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duty of the employer or trade union to reimburse the college, institute, or service any amount owed by the employer or trade union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calculated by the commission, failure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retain at least 85 percent of trainees for the 90-day period following training completion;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pay trainees on training completion wages equal to at least any required amount of increased wages or the applicable prevailing wage;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calculated by the college, institute, or service, any costs not covered by the grant incurred by the college, institute, or service as a result of the employer or trade union: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canceling or postponing a class less than 72 hours before the scheduled class time;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failing to send the scheduled number of trainees to classes;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sending a trainee whose occupation is not approved by the grant or who is otherwise not eligible to participate in training;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requesting make-up classes not funded by the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303.0032, Labor Code, as added by this Act, applies only to a grant proposal submitted to the Texas Workforce Commission on or after the effective date of this Act.  A proposal submitted before that date is governed by the law in effect on the date the proposal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