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88R8444 DIO-D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w:t>
      </w:r>
      <w:r xml:space="preserve">
        <w:tab wTab="150" tlc="none" cTlc="0"/>
      </w:r>
      <w:r>
        <w:t xml:space="preserve">H.B.</w:t>
      </w:r>
      <w:r xml:space="preserve">
        <w:t> </w:t>
      </w:r>
      <w:r>
        <w:t xml:space="preserve">No.</w:t>
      </w:r>
      <w:r xml:space="preserve">
        <w:t> </w:t>
      </w:r>
      <w:r>
        <w:t xml:space="preserve">2372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materials and resources for public school administrators regarding bilingual education programs and dual language immersion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21.4572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21.4572.</w:t>
      </w:r>
      <w:r>
        <w:rPr>
          <w:u w:val="single"/>
        </w:rPr>
        <w:t xml:space="preserve"> </w:t>
      </w:r>
      <w:r>
        <w:rPr>
          <w:u w:val="single"/>
        </w:rPr>
        <w:t xml:space="preserve"> </w:t>
      </w:r>
      <w:r>
        <w:rPr>
          <w:u w:val="single"/>
        </w:rPr>
        <w:t xml:space="preserve">TRAINING FOR SCHOOL ADMINISTRATORS: BILINGUAL EDUCATION AND DUAL LANGUAGE IMMERSION.  The commissioner, in collaboration with relevant stakeholders, shall develop and make available training materials and other training resources to increase  school administrators' understanding of and improve student outcomes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bilingual education programs offered under Section 29.053;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dual language immersion programs described by Section 28.0051.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