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A political subdivision may not adopt or enforce an ordinance, order, regulation, or similar measure that limits access to an energy source or that results in the effective prohibition of a wholesaler, retailer, energy producer, or related infrastructure, including a retail service station, that is necessary to provide access to a specific energy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or indirectly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engine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