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88R23366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2382:</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w:t>
      </w:r>
      <w:r>
        <w:rPr>
          <w:u w:val="single"/>
        </w:rPr>
        <w:t xml:space="preserve">purposes</w:t>
      </w:r>
      <w:r>
        <w:t xml:space="preserve"> [</w:t>
      </w:r>
      <w:r>
        <w:rPr>
          <w:strike/>
        </w:rPr>
        <w:t xml:space="preserve">purchases</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an item selling at 105 percent or more of the scrap value of the item;</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1956.062(d),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provide to a peace officer, on demand, the list required by Subsection (b); and</w:t>
      </w:r>
    </w:p>
    <w:p w:rsidR="003F3435" w:rsidRDefault="0032493E">
      <w:pPr>
        <w:spacing w:line="480" w:lineRule="auto"/>
        <w:ind w:firstLine="1440"/>
        <w:jc w:val="both"/>
      </w:pPr>
      <w:r>
        <w:t xml:space="preserve">(2)</w:t>
      </w:r>
      <w:r xml:space="preserve">
        <w:t> </w:t>
      </w:r>
      <w:r xml:space="preserve">
        <w:t> </w:t>
      </w:r>
      <w:r>
        <w:rPr>
          <w:u w:val="single"/>
        </w:rPr>
        <w:t xml:space="preserve">submit</w:t>
      </w:r>
      <w:r>
        <w:t xml:space="preserve">  [</w:t>
      </w:r>
      <w:r>
        <w:rPr>
          <w:strike/>
        </w:rPr>
        <w:t xml:space="preserve">mail or deliver a complete copy of</w:t>
      </w:r>
      <w:r>
        <w:t xml:space="preserve">] the list to the </w:t>
      </w:r>
      <w:r>
        <w:rPr>
          <w:u w:val="single"/>
        </w:rPr>
        <w:t xml:space="preserve">online database designated under</w:t>
      </w:r>
      <w:r>
        <w:t xml:space="preserve"> [</w:t>
      </w:r>
      <w:r>
        <w:rPr>
          <w:strike/>
        </w:rPr>
        <w:t xml:space="preserve">chief of police or the sheriff as provided by</w:t>
      </w:r>
      <w:r>
        <w:t xml:space="preserve">] Section 1956.063 not later than 48 hours after the list is filed with the dealer.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1956.063, Occupations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(b-2), a dealer shall submit</w:t>
      </w:r>
      <w:r>
        <w:t xml:space="preserve"> [</w:t>
      </w:r>
      <w:r>
        <w:rPr>
          <w:strike/>
        </w:rPr>
        <w:t xml:space="preserve">If a transaction regulated by this subchapter occurs in a municipality that maintains a police department, the original and a copy of</w:t>
      </w:r>
      <w:r>
        <w:t xml:space="preserve">] the report required by this subchapter [</w:t>
      </w:r>
      <w:r>
        <w:rPr>
          <w:strike/>
        </w:rPr>
        <w:t xml:space="preserve">shall be submitted</w:t>
      </w:r>
      <w:r>
        <w:t xml:space="preserve">] to </w:t>
      </w:r>
      <w:r>
        <w:rPr>
          <w:u w:val="single"/>
        </w:rPr>
        <w:t xml:space="preserve">an online database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used by law enforcement agencies to investigate offenses related to crafted precious metal and other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commission under Subsection (b-1) for purposes of this section</w:t>
      </w:r>
      <w:r>
        <w:t xml:space="preserve"> [</w:t>
      </w:r>
      <w:r>
        <w:rPr>
          <w:strike/>
        </w:rPr>
        <w:t xml:space="preserve">the municipality's chief of police.  If the transaction does not occur in such a municipality, the original and a copy of the report shall be submitted to the sheriff of the county in which the transaction occurs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by rule shall designate the database to which a dealer is required to report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the commission determines that no appropriate online database exists for submitting reports required by this subchapter, the commission by rule shall establish an alternative procedure under which dealers are required to submit those reports.</w:t>
      </w:r>
    </w:p>
    <w:p w:rsidR="003F3435" w:rsidRDefault="0032493E">
      <w:pPr>
        <w:spacing w:line="480" w:lineRule="auto"/>
        <w:ind w:firstLine="720"/>
        <w:jc w:val="both"/>
      </w:pPr>
      <w:r>
        <w:t xml:space="preserve">(c)</w:t>
      </w:r>
      <w:r xml:space="preserve">
        <w:t> </w:t>
      </w:r>
      <w:r xml:space="preserve">
        <w:t> </w:t>
      </w:r>
      <w:r>
        <w:t xml:space="preserve">For each transaction regulated by this subchapter, the dealer shall submit a report on a [</w:t>
      </w:r>
      <w:r>
        <w:rPr>
          <w:strike/>
        </w:rPr>
        <w:t xml:space="preserve">preprinted and prenumbered</w:t>
      </w:r>
      <w:r>
        <w:t xml:space="preserve">] form prescribed by the commissioner or in the manner described by Subsection (c-1). The form must include the following:</w:t>
      </w:r>
    </w:p>
    <w:p w:rsidR="003F3435" w:rsidRDefault="0032493E">
      <w:pPr>
        <w:spacing w:line="480" w:lineRule="auto"/>
        <w:ind w:firstLine="1440"/>
        <w:jc w:val="both"/>
      </w:pPr>
      <w:r>
        <w:t xml:space="preserve">(1)</w:t>
      </w:r>
      <w:r xml:space="preserve">
        <w:t> </w:t>
      </w:r>
      <w:r xml:space="preserve">
        <w:t> </w:t>
      </w:r>
      <w:r>
        <w:t xml:space="preserve">the date of the transaction;</w:t>
      </w:r>
    </w:p>
    <w:p w:rsidR="003F3435" w:rsidRDefault="0032493E">
      <w:pPr>
        <w:spacing w:line="480" w:lineRule="auto"/>
        <w:ind w:firstLine="1440"/>
        <w:jc w:val="both"/>
      </w:pPr>
      <w:r>
        <w:t xml:space="preserve">(2)</w:t>
      </w:r>
      <w:r xml:space="preserve">
        <w:t> </w:t>
      </w:r>
      <w:r xml:space="preserve">
        <w:t> </w:t>
      </w:r>
      <w:r>
        <w:t xml:space="preserve">a description of the crafted precious metal purchased by the dealer;</w:t>
      </w:r>
    </w:p>
    <w:p w:rsidR="003F3435" w:rsidRDefault="0032493E">
      <w:pPr>
        <w:spacing w:line="480" w:lineRule="auto"/>
        <w:ind w:firstLine="1440"/>
        <w:jc w:val="both"/>
      </w:pPr>
      <w:r>
        <w:t xml:space="preserve">(3)</w:t>
      </w:r>
      <w:r xml:space="preserve">
        <w:t> </w:t>
      </w:r>
      <w:r xml:space="preserve">
        <w:t> </w:t>
      </w:r>
      <w:r>
        <w:t xml:space="preserve">the name and physical address of the dealer; and</w:t>
      </w:r>
    </w:p>
    <w:p w:rsidR="003F3435" w:rsidRDefault="0032493E">
      <w:pPr>
        <w:spacing w:line="480" w:lineRule="auto"/>
        <w:ind w:firstLine="1440"/>
        <w:jc w:val="both"/>
      </w:pPr>
      <w:r>
        <w:t xml:space="preserve">(4)</w:t>
      </w:r>
      <w:r xml:space="preserve">
        <w:t> </w:t>
      </w:r>
      <w:r xml:space="preserve">
        <w:t> </w:t>
      </w:r>
      <w:r>
        <w:t xml:space="preserve">the name, physical description, and physical address of the seller or transferor.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1956.069(a),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1956.062 or 1956.063;</w:t>
      </w:r>
    </w:p>
    <w:p w:rsidR="003F3435" w:rsidRDefault="0032493E">
      <w:pPr>
        <w:spacing w:line="480" w:lineRule="auto"/>
        <w:ind w:firstLine="1440"/>
        <w:jc w:val="both"/>
      </w:pPr>
      <w:r>
        <w:t xml:space="preserve">(2)</w:t>
      </w:r>
      <w:r xml:space="preserve">
        <w:t> </w:t>
      </w:r>
      <w:r xml:space="preserve">
        <w:t> </w:t>
      </w:r>
      <w:r>
        <w:t xml:space="preserve">violates Section 1956.0612 or 1956.064;</w:t>
      </w:r>
    </w:p>
    <w:p w:rsidR="003F3435" w:rsidRDefault="0032493E">
      <w:pPr>
        <w:spacing w:line="480" w:lineRule="auto"/>
        <w:ind w:firstLine="1440"/>
        <w:jc w:val="both"/>
      </w:pPr>
      <w:r>
        <w:t xml:space="preserve">(3)</w:t>
      </w:r>
      <w:r xml:space="preserve">
        <w:t> </w:t>
      </w:r>
      <w:r xml:space="preserve">
        <w:t> </w:t>
      </w:r>
      <w:r>
        <w:rPr>
          <w:u w:val="single"/>
        </w:rPr>
        <w:t xml:space="preserve">fails to permit inspection of crafted precious metal as required by Section 1956.065;</w:t>
      </w:r>
    </w:p>
    <w:p w:rsidR="003F3435" w:rsidRDefault="0032493E">
      <w:pPr>
        <w:spacing w:line="480" w:lineRule="auto"/>
        <w:ind w:firstLine="1440"/>
        <w:jc w:val="both"/>
      </w:pPr>
      <w:r>
        <w:rPr>
          <w:u w:val="single"/>
        </w:rPr>
        <w:t xml:space="preserve">(4)</w:t>
      </w:r>
      <w:r xml:space="preserve">
        <w:t> </w:t>
      </w:r>
      <w:r xml:space="preserve">
        <w:t> </w:t>
      </w:r>
      <w:r>
        <w:t xml:space="preserve">fails to obtain or retain a statement as required by Section 1956.066;</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fails to file a registration statement as required by Section 1956.067;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purchases an object in violation of Section 1956.068.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1956.062 and 1956.063, Occupations Code, as amended by this Act, apply only to a transaction that occurs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1956.069(a), Occupations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Finance Commission of Texas by rule shall designate the online database as required by Section 1956.063, Occupations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