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88R4218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exempting certain autocycles from the requirement that an operator or passenger of an autocycle wear protective headgear.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661.0015(b),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chapter, an autocycle is considered to be a motorcycle</w:t>
      </w:r>
      <w:r>
        <w:rPr>
          <w:u w:val="single"/>
        </w:rPr>
        <w:t xml:space="preserve">, except that this chapter does not apply to an autocycle that has a fully enclosed cab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