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memoranda of understanding between the Texas Water Development Board and other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6.104, Water Code, is amended to read as follows:</w:t>
      </w: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MEMORANDA OF UNDERSTANDING.  The board may enter into a memorandum of understanding with any other state agency [</w:t>
      </w:r>
      <w:r>
        <w:rPr>
          <w:strike/>
        </w:rPr>
        <w:t xml:space="preserve">and shall adopt by rule any memorandum of understanding between the board and any other state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6.104, Water Code, applies only to a memorandum of understanding that is entered into on or after the effective date of this Act.  A memorandum of understanding that is entered into before that date is governed by the law in effect on the date the memorandum of understanding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2388 was passed by the House on April 14, 2023, by the following vote:</w:t>
      </w:r>
      <w:r xml:space="preserve">
        <w:t> </w:t>
      </w:r>
      <w:r xml:space="preserve">
        <w:t> </w:t>
      </w:r>
      <w:r>
        <w:t xml:space="preserve">Yeas 140,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2388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