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2388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May</w:t>
      </w:r>
      <w:r xml:space="preserve">
        <w:t> </w:t>
      </w:r>
      <w:r>
        <w:t xml:space="preserve">2,</w:t>
      </w:r>
      <w:r xml:space="preserve">
        <w:t> </w:t>
      </w:r>
      <w:r>
        <w:t xml:space="preserve">2023, read first time and referred to Committee on Water, Agriculture &amp; Rural Affairs; May</w:t>
      </w:r>
      <w:r xml:space="preserve">
        <w:t> </w:t>
      </w:r>
      <w:r>
        <w:t xml:space="preserve">4,</w:t>
      </w:r>
      <w:r xml:space="preserve">
        <w:t> </w:t>
      </w:r>
      <w:r>
        <w:t xml:space="preserve">2023, reported favorably by the following vote:</w:t>
      </w:r>
      <w:r>
        <w:t xml:space="preserve"> </w:t>
      </w:r>
      <w:r>
        <w:t xml:space="preserve"> </w:t>
      </w:r>
      <w:r>
        <w:t xml:space="preserve">Yeas 9, Nays 0; May</w:t>
      </w:r>
      <w:r xml:space="preserve">
        <w:t> </w:t>
      </w:r>
      <w:r>
        <w:t xml:space="preserve">4,</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memoranda of understanding between the Texas Water Development Board and other state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6.104, Water Code, is amended to read as follows:</w:t>
      </w:r>
    </w:p>
    <w:p w:rsidR="003F3435" w:rsidRDefault="0032493E">
      <w:pPr>
        <w:spacing w:line="480" w:lineRule="auto"/>
        <w:ind w:firstLine="720"/>
        <w:jc w:val="both"/>
      </w:pPr>
      <w:r>
        <w:t xml:space="preserve">Sec.</w:t>
      </w:r>
      <w:r xml:space="preserve">
        <w:t> </w:t>
      </w:r>
      <w:r>
        <w:t xml:space="preserve">6.104.</w:t>
      </w:r>
      <w:r xml:space="preserve">
        <w:t> </w:t>
      </w:r>
      <w:r xml:space="preserve">
        <w:t> </w:t>
      </w:r>
      <w:r>
        <w:t xml:space="preserve">MEMORANDA OF UNDERSTANDING.  The board may enter into a memorandum of understanding with any other state agency [</w:t>
      </w:r>
      <w:r>
        <w:rPr>
          <w:strike/>
        </w:rPr>
        <w:t xml:space="preserve">and shall adopt by rule any memorandum of understanding between the board and any other state agency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to Section 6.104, Water Code, applies only to a memorandum of understanding that is entered into on or after the effective date of this Act.  A memorandum of understanding that is entered into before that date is governed by the law in effect on the date the memorandum of understanding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