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88R5467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basic allotment and the guaranteed yield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$6,360</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$6,360</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$6,360</w:t>
      </w:r>
      <w:r>
        <w:t xml:space="preserve"> [</w:t>
      </w:r>
      <w:r>
        <w:rPr>
          <w:strike/>
        </w:rPr>
        <w:t xml:space="preserve">6,160</w:t>
      </w:r>
      <w:r>
        <w:t xml:space="preserve">], or the greater amount provided under Section 48.051(b),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$6,360</w:t>
      </w:r>
      <w:r>
        <w:t xml:space="preserve"> [</w:t>
      </w:r>
      <w:r>
        <w:rPr>
          <w:strike/>
        </w:rPr>
        <w:t xml:space="preserve">$6,160</w:t>
      </w:r>
      <w:r>
        <w:t xml:space="preserve">], or the greater amount provided under Section 48.051(b),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