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88R10599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property to continue to qualify for an ad valorem tax exemption or special appraisal following certain changes in ownership.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(c), ownership of the property is not considered to have changed if ownership of the property is transferred from the former owner to the surviving spouse or a surviving child of the former owner.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23.54, Tax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purposes of Subsection (e), the ownership of land that was appraised under this subchapter in the preceding tax year is not considered to have changed if, after the ownership of the land is transferred from the former owner to the new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new owner uses the land in materially the same way as the former owner used the land during the preceding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described by Subdivision (1) is overseen or conducted by the same individuals who oversaw or conducted that use during the preceding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owner uses the land in materially the same way as the former owner used the land during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first anniversary of the date ownership of the land was transferred from the former owner to the new owner.</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